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C361D" w14:textId="77777777" w:rsidR="007E28FD" w:rsidRDefault="00000000">
      <w:pPr>
        <w:rPr>
          <w:rFonts w:eastAsia="Arial"/>
          <w:sz w:val="8"/>
          <w:szCs w:val="8"/>
        </w:rPr>
      </w:pPr>
      <w:r>
        <w:rPr>
          <w:b/>
          <w:bCs/>
          <w:sz w:val="32"/>
          <w:szCs w:val="32"/>
        </w:rPr>
        <w:t xml:space="preserve">Alexander Eichler übernimmt Führung von </w:t>
      </w:r>
      <w:proofErr w:type="spellStart"/>
      <w:r>
        <w:rPr>
          <w:b/>
          <w:bCs/>
          <w:sz w:val="32"/>
          <w:szCs w:val="32"/>
        </w:rPr>
        <w:t>moebelplus</w:t>
      </w:r>
      <w:proofErr w:type="spellEnd"/>
      <w:r>
        <w:rPr>
          <w:b/>
          <w:bCs/>
          <w:sz w:val="32"/>
          <w:szCs w:val="32"/>
        </w:rPr>
        <w:t>:</w:t>
      </w:r>
      <w:r>
        <w:rPr>
          <w:b/>
          <w:bCs/>
          <w:sz w:val="32"/>
          <w:szCs w:val="32"/>
        </w:rPr>
        <w:br/>
      </w:r>
      <w:r>
        <w:rPr>
          <w:rFonts w:eastAsia="Arial"/>
        </w:rPr>
        <w:t>Fokus auf E-Commerce-Ausbau und Logistikoptimierung</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7E28FD" w14:paraId="2045516D"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2B34B660" w14:textId="77777777" w:rsidR="007E28FD" w:rsidRDefault="00000000">
            <w:pPr>
              <w:rPr>
                <w:sz w:val="18"/>
                <w:szCs w:val="18"/>
              </w:rPr>
            </w:pPr>
            <w:r>
              <w:rPr>
                <w:noProof/>
                <w:sz w:val="18"/>
                <w:szCs w:val="18"/>
              </w:rPr>
              <w:drawing>
                <wp:inline distT="0" distB="0" distL="0" distR="0" wp14:anchorId="17AC7977" wp14:editId="4EBC8F17">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1E518031" w14:textId="77777777" w:rsidR="007E28FD"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7E28FD" w14:paraId="358754F4"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15681592" w14:textId="77777777" w:rsidR="00D27F8C" w:rsidRDefault="00D27F8C" w:rsidP="00EE72A1">
            <w:pPr>
              <w:ind w:right="-48"/>
              <w:rPr>
                <w:i/>
                <w:sz w:val="20"/>
                <w:szCs w:val="20"/>
              </w:rPr>
            </w:pPr>
          </w:p>
          <w:p w14:paraId="0EEEE2A6" w14:textId="0BF6C81F" w:rsidR="007E28FD" w:rsidRDefault="00000000" w:rsidP="00EE72A1">
            <w:pPr>
              <w:ind w:right="-48"/>
              <w:rPr>
                <w:sz w:val="20"/>
                <w:szCs w:val="20"/>
              </w:rPr>
            </w:pPr>
            <w:r>
              <w:rPr>
                <w:i/>
                <w:sz w:val="20"/>
                <w:szCs w:val="20"/>
              </w:rPr>
              <w:t xml:space="preserve">Zum 1. Juli 2025 hat Alexander Eichler die Geschäftsführung von </w:t>
            </w:r>
            <w:proofErr w:type="spellStart"/>
            <w:r>
              <w:rPr>
                <w:i/>
                <w:sz w:val="20"/>
                <w:szCs w:val="20"/>
              </w:rPr>
              <w:t>moebelplus</w:t>
            </w:r>
            <w:proofErr w:type="spellEnd"/>
            <w:r>
              <w:rPr>
                <w:i/>
                <w:sz w:val="20"/>
                <w:szCs w:val="20"/>
              </w:rPr>
              <w:t xml:space="preserve"> übernommen. Die Übergabe von seinem Vorgänger Mathias </w:t>
            </w:r>
            <w:proofErr w:type="spellStart"/>
            <w:r>
              <w:rPr>
                <w:i/>
                <w:sz w:val="20"/>
                <w:szCs w:val="20"/>
              </w:rPr>
              <w:t>Grummt</w:t>
            </w:r>
            <w:proofErr w:type="spellEnd"/>
            <w:r>
              <w:rPr>
                <w:i/>
                <w:sz w:val="20"/>
                <w:szCs w:val="20"/>
              </w:rPr>
              <w:t xml:space="preserve"> erfolgte nach einer einjährigen Einarbeitungsphase bis zum planmäßigen Ausscheiden des Firmengründers. Alexander Eichler führt den</w:t>
            </w:r>
            <w:r w:rsidR="00EE72A1">
              <w:rPr>
                <w:i/>
                <w:sz w:val="20"/>
                <w:szCs w:val="20"/>
              </w:rPr>
              <w:t xml:space="preserve"> </w:t>
            </w:r>
            <w:r>
              <w:rPr>
                <w:i/>
                <w:sz w:val="20"/>
                <w:szCs w:val="20"/>
              </w:rPr>
              <w:t xml:space="preserve">Online-Händler für Elektro-Haushaltsgeräte, der seit 2021 zur Häfele Gruppe gehört, mit seinen Geschäftsleitungskollegen Rico Kellner und Karsten </w:t>
            </w:r>
            <w:proofErr w:type="spellStart"/>
            <w:r>
              <w:rPr>
                <w:i/>
                <w:sz w:val="20"/>
                <w:szCs w:val="20"/>
              </w:rPr>
              <w:t>Hünl</w:t>
            </w:r>
            <w:proofErr w:type="spellEnd"/>
            <w:r>
              <w:rPr>
                <w:i/>
                <w:sz w:val="20"/>
                <w:szCs w:val="20"/>
              </w:rPr>
              <w:t xml:space="preserve"> nahtlos weiter. Rico Kellner und Karsten </w:t>
            </w:r>
            <w:proofErr w:type="spellStart"/>
            <w:r>
              <w:rPr>
                <w:i/>
                <w:sz w:val="20"/>
                <w:szCs w:val="20"/>
              </w:rPr>
              <w:t>Hünl</w:t>
            </w:r>
            <w:proofErr w:type="spellEnd"/>
            <w:r>
              <w:rPr>
                <w:i/>
                <w:sz w:val="20"/>
                <w:szCs w:val="20"/>
              </w:rPr>
              <w:t xml:space="preserve"> unterstützen Alexander Eichler mit ihrer langjährigen Erfahrung bei </w:t>
            </w:r>
            <w:proofErr w:type="spellStart"/>
            <w:r>
              <w:rPr>
                <w:i/>
                <w:sz w:val="20"/>
                <w:szCs w:val="20"/>
              </w:rPr>
              <w:t>moebelplus</w:t>
            </w:r>
            <w:proofErr w:type="spellEnd"/>
            <w:r>
              <w:rPr>
                <w:i/>
                <w:sz w:val="20"/>
                <w:szCs w:val="20"/>
              </w:rPr>
              <w:t xml:space="preserve"> im stationären Handel sowie Marketing und Vertrieb.</w:t>
            </w:r>
            <w:r>
              <w:rPr>
                <w:i/>
                <w:sz w:val="20"/>
                <w:szCs w:val="20"/>
              </w:rPr>
              <w:br/>
            </w:r>
            <w:r>
              <w:rPr>
                <w:i/>
                <w:sz w:val="20"/>
                <w:szCs w:val="20"/>
              </w:rPr>
              <w:br/>
            </w:r>
            <w:r>
              <w:rPr>
                <w:sz w:val="20"/>
                <w:szCs w:val="20"/>
              </w:rPr>
              <w:t xml:space="preserve">Wie erfolgreich die bisherige und neue Geschäftsführung zusammengearbeitet haben, belegt die wirtschaftliche Entwicklung von </w:t>
            </w:r>
            <w:proofErr w:type="spellStart"/>
            <w:r>
              <w:rPr>
                <w:sz w:val="20"/>
                <w:szCs w:val="20"/>
              </w:rPr>
              <w:t>moebelplus</w:t>
            </w:r>
            <w:proofErr w:type="spellEnd"/>
            <w:r>
              <w:rPr>
                <w:sz w:val="20"/>
                <w:szCs w:val="20"/>
              </w:rPr>
              <w:t xml:space="preserve">. Trotz des schwierigen gesamtwirtschaftlichen Umfelds und erheblicher Herausforderungen für die deutsche Küchenindustrie rechnet das </w:t>
            </w:r>
            <w:proofErr w:type="spellStart"/>
            <w:r>
              <w:rPr>
                <w:sz w:val="20"/>
                <w:szCs w:val="20"/>
              </w:rPr>
              <w:t>Mühlauer</w:t>
            </w:r>
            <w:proofErr w:type="spellEnd"/>
            <w:r>
              <w:rPr>
                <w:sz w:val="20"/>
                <w:szCs w:val="20"/>
              </w:rPr>
              <w:t xml:space="preserve"> Unternehmen für dieses Jahr mit einem starken Wachstum.</w:t>
            </w:r>
            <w:r>
              <w:rPr>
                <w:sz w:val="20"/>
                <w:szCs w:val="20"/>
              </w:rPr>
              <w:br/>
            </w:r>
            <w:r>
              <w:rPr>
                <w:sz w:val="20"/>
                <w:szCs w:val="20"/>
              </w:rPr>
              <w:br/>
              <w:t>Alexander Eichler: „Wir schreiben die erfolgreiche Unternehmensgeschichte fort und haben die zukünftigen Handlungsfelder für weiteres Wachstum und hohe Kundenzufriedenheit definiert.“ So richtet der Küchengeräte-Händler mit rund 70 Mitarbeitenden seinen Fokus intensiv auf den Ausbau seiner E-Commerce-Plattform und auf die Optimierung der Logistikprozesse. Für diese Vorhaben bringt Alexander Eichler langjährige Führungserfahrung aus den Bereichen E-Commerce sowie Transport- und Lagerlogistik mit. Im Rahmen eines breit aufgestellten Teams verantwortete er den Aufbau des ersten eigenen Logistikstandortes von Zalando in Erfurt mit und brachte sein Know-how als operativer Vorstand/COO bei der Delticom AG in Hannover ein.</w:t>
            </w:r>
            <w:r>
              <w:rPr>
                <w:sz w:val="20"/>
                <w:szCs w:val="20"/>
              </w:rPr>
              <w:br/>
            </w:r>
            <w:r>
              <w:rPr>
                <w:sz w:val="20"/>
                <w:szCs w:val="20"/>
              </w:rPr>
              <w:br/>
            </w:r>
            <w:r>
              <w:rPr>
                <w:sz w:val="20"/>
                <w:szCs w:val="20"/>
              </w:rPr>
              <w:lastRenderedPageBreak/>
              <w:t xml:space="preserve">Die Muttergesellschaft Häfele ist 2025 erstmals als Aussteller auf der Fachmesse area30 vertreten. „Wir freuen uns sehr auf den Austausch mit der Branche in Löhne, sowohl von Seiten Häfele als auch durch die neue </w:t>
            </w:r>
            <w:proofErr w:type="spellStart"/>
            <w:r>
              <w:rPr>
                <w:sz w:val="20"/>
                <w:szCs w:val="20"/>
              </w:rPr>
              <w:t>moebelplus</w:t>
            </w:r>
            <w:proofErr w:type="spellEnd"/>
            <w:r>
              <w:rPr>
                <w:sz w:val="20"/>
                <w:szCs w:val="20"/>
              </w:rPr>
              <w:t>-Geschäftsleitung“, so Rico Marquardt, Regionaldirektor Deutschland bei Häfele. Alexander Eichler ergänzt: „Auch am Unternehmenssitz in Mühlau wird es selbstverständlich Gelegenheiten für den Austausch mit unseren Lieferanten geben. Wir freuen uns darauf, gemeinsam mit unseren Kunden, den Partnern aus der Industrie, der Häfele Familie und dem schlagkräftigen Team vor Ort die ureigene Leidenschaft für das Thema Küche, Leben und Genuss weiterzuentwickeln und damit den Wert des Raums Küche in allen Dimensionen zu maximieren.“</w:t>
            </w:r>
            <w:r>
              <w:rPr>
                <w:sz w:val="20"/>
                <w:szCs w:val="20"/>
              </w:rPr>
              <w:br/>
            </w:r>
            <w:r>
              <w:rPr>
                <w:sz w:val="20"/>
                <w:szCs w:val="20"/>
              </w:rPr>
              <w:br/>
              <w:t>Nagold, Juli 2025</w:t>
            </w:r>
            <w:r>
              <w:rPr>
                <w:sz w:val="20"/>
                <w:szCs w:val="20"/>
              </w:rPr>
              <w:br/>
              <w:t>Abdruck honorarfrei / Beleg erbeten</w:t>
            </w:r>
          </w:p>
          <w:p w14:paraId="3EA83EDE" w14:textId="77777777" w:rsidR="00EE72A1" w:rsidRDefault="00EE72A1" w:rsidP="00EE72A1">
            <w:pPr>
              <w:ind w:right="-48"/>
              <w:rPr>
                <w:sz w:val="20"/>
                <w:szCs w:val="20"/>
              </w:rPr>
            </w:pPr>
          </w:p>
          <w:p w14:paraId="7B6CF583" w14:textId="77777777" w:rsidR="00EE72A1" w:rsidRDefault="00EE72A1" w:rsidP="00EE72A1">
            <w:pPr>
              <w:ind w:right="-48"/>
              <w:rPr>
                <w:sz w:val="20"/>
                <w:szCs w:val="20"/>
              </w:rPr>
            </w:pPr>
          </w:p>
          <w:p w14:paraId="0D412FF7" w14:textId="77777777" w:rsidR="00EE72A1" w:rsidRDefault="00EE72A1" w:rsidP="00EE72A1">
            <w:pPr>
              <w:ind w:right="-48"/>
              <w:rPr>
                <w:sz w:val="20"/>
                <w:szCs w:val="20"/>
              </w:rPr>
            </w:pPr>
          </w:p>
          <w:p w14:paraId="7466197C" w14:textId="77777777" w:rsidR="00EE72A1" w:rsidRDefault="00EE72A1" w:rsidP="00EE72A1">
            <w:pPr>
              <w:ind w:right="-48"/>
              <w:rPr>
                <w:sz w:val="20"/>
                <w:szCs w:val="20"/>
              </w:rPr>
            </w:pPr>
          </w:p>
          <w:p w14:paraId="11B0C68C" w14:textId="77777777" w:rsidR="00EE72A1" w:rsidRDefault="00EE72A1" w:rsidP="00EE72A1">
            <w:pPr>
              <w:ind w:right="-48"/>
              <w:rPr>
                <w:sz w:val="20"/>
                <w:szCs w:val="20"/>
              </w:rPr>
            </w:pPr>
          </w:p>
          <w:p w14:paraId="198A59BB" w14:textId="77777777" w:rsidR="00EE72A1" w:rsidRDefault="00EE72A1" w:rsidP="00EE72A1">
            <w:pPr>
              <w:ind w:right="-48"/>
              <w:rPr>
                <w:sz w:val="20"/>
                <w:szCs w:val="20"/>
              </w:rPr>
            </w:pPr>
          </w:p>
          <w:p w14:paraId="1F3966B8" w14:textId="77777777" w:rsidR="00EE72A1" w:rsidRDefault="00EE72A1" w:rsidP="00EE72A1">
            <w:pPr>
              <w:ind w:right="-48"/>
              <w:rPr>
                <w:sz w:val="20"/>
                <w:szCs w:val="20"/>
              </w:rPr>
            </w:pPr>
          </w:p>
          <w:p w14:paraId="7634E924" w14:textId="77777777" w:rsidR="00EE72A1" w:rsidRDefault="00EE72A1" w:rsidP="00EE72A1">
            <w:pPr>
              <w:ind w:right="-48"/>
              <w:rPr>
                <w:sz w:val="20"/>
                <w:szCs w:val="20"/>
              </w:rPr>
            </w:pPr>
          </w:p>
          <w:p w14:paraId="619C462E" w14:textId="77777777" w:rsidR="00EE72A1" w:rsidRDefault="00EE72A1" w:rsidP="00EE72A1">
            <w:pPr>
              <w:ind w:right="-48"/>
              <w:rPr>
                <w:sz w:val="20"/>
                <w:szCs w:val="20"/>
              </w:rPr>
            </w:pPr>
          </w:p>
          <w:p w14:paraId="1D250BEC" w14:textId="77777777" w:rsidR="00EE72A1" w:rsidRDefault="00EE72A1" w:rsidP="00EE72A1">
            <w:pPr>
              <w:ind w:right="-48"/>
              <w:rPr>
                <w:sz w:val="20"/>
                <w:szCs w:val="20"/>
              </w:rPr>
            </w:pPr>
          </w:p>
          <w:p w14:paraId="113F7705" w14:textId="77777777" w:rsidR="00EE72A1" w:rsidRDefault="00EE72A1" w:rsidP="00EE72A1">
            <w:pPr>
              <w:ind w:right="-48"/>
              <w:rPr>
                <w:sz w:val="20"/>
                <w:szCs w:val="20"/>
              </w:rPr>
            </w:pPr>
          </w:p>
          <w:p w14:paraId="741DD206" w14:textId="77777777" w:rsidR="00EE72A1" w:rsidRDefault="00EE72A1" w:rsidP="00EE72A1">
            <w:pPr>
              <w:ind w:right="-48"/>
              <w:rPr>
                <w:sz w:val="20"/>
                <w:szCs w:val="20"/>
              </w:rPr>
            </w:pPr>
          </w:p>
          <w:p w14:paraId="46DB296C" w14:textId="77777777" w:rsidR="00D27F8C" w:rsidRDefault="00D27F8C" w:rsidP="00EE72A1">
            <w:pPr>
              <w:ind w:right="-48"/>
              <w:rPr>
                <w:sz w:val="20"/>
                <w:szCs w:val="20"/>
              </w:rPr>
            </w:pPr>
          </w:p>
          <w:p w14:paraId="7023275F" w14:textId="77777777" w:rsidR="00D27F8C" w:rsidRDefault="00D27F8C" w:rsidP="00EE72A1">
            <w:pPr>
              <w:ind w:right="-48"/>
              <w:rPr>
                <w:sz w:val="20"/>
                <w:szCs w:val="20"/>
              </w:rPr>
            </w:pPr>
          </w:p>
          <w:p w14:paraId="588A01C5" w14:textId="77777777" w:rsidR="00EE72A1" w:rsidRDefault="00EE72A1" w:rsidP="00EE72A1">
            <w:pPr>
              <w:ind w:right="-48"/>
              <w:rPr>
                <w:sz w:val="20"/>
                <w:szCs w:val="20"/>
              </w:rPr>
            </w:pPr>
          </w:p>
          <w:p w14:paraId="37AF971E" w14:textId="4A31DB35" w:rsidR="00EE72A1" w:rsidRDefault="00EE72A1" w:rsidP="00EE72A1">
            <w:pPr>
              <w:ind w:right="-48"/>
              <w:rPr>
                <w:sz w:val="20"/>
                <w:szCs w:val="20"/>
              </w:rPr>
            </w:pPr>
          </w:p>
        </w:tc>
        <w:tc>
          <w:tcPr>
            <w:tcW w:w="1500" w:type="pct"/>
            <w:tcBorders>
              <w:top w:val="nil"/>
              <w:left w:val="nil"/>
              <w:bottom w:val="nil"/>
              <w:right w:val="nil"/>
            </w:tcBorders>
            <w:shd w:val="clear" w:color="auto" w:fill="auto"/>
            <w:tcMar>
              <w:top w:w="0" w:type="dxa"/>
              <w:left w:w="0" w:type="dxa"/>
              <w:bottom w:w="0" w:type="dxa"/>
              <w:right w:w="227" w:type="dxa"/>
            </w:tcMar>
          </w:tcPr>
          <w:p w14:paraId="66452008" w14:textId="0E6EFFAA" w:rsidR="007E28FD"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04EAAD59" w14:textId="77777777" w:rsidR="007E28FD"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3A08EC06" w14:textId="77777777" w:rsidR="007E28FD" w:rsidRDefault="00000000">
            <w:pPr>
              <w:spacing w:after="240"/>
              <w:rPr>
                <w:sz w:val="20"/>
                <w:szCs w:val="20"/>
              </w:rPr>
            </w:pPr>
            <w:r>
              <w:rPr>
                <w:sz w:val="20"/>
                <w:szCs w:val="20"/>
              </w:rPr>
              <w:t> </w:t>
            </w:r>
          </w:p>
          <w:p w14:paraId="035380F8" w14:textId="77777777" w:rsidR="007E28FD" w:rsidRDefault="00000000">
            <w:pPr>
              <w:rPr>
                <w:sz w:val="20"/>
                <w:szCs w:val="20"/>
              </w:rPr>
            </w:pPr>
            <w:r>
              <w:rPr>
                <w:sz w:val="20"/>
                <w:szCs w:val="20"/>
              </w:rPr>
              <w:t> </w:t>
            </w:r>
          </w:p>
        </w:tc>
      </w:tr>
      <w:tr w:rsidR="007E28FD" w14:paraId="226C906F" w14:textId="77777777" w:rsidTr="00EE72A1">
        <w:trPr>
          <w:gridAfter w:val="1"/>
          <w:wAfter w:w="1500" w:type="pct"/>
        </w:trPr>
        <w:tc>
          <w:tcPr>
            <w:tcW w:w="1750" w:type="pct"/>
            <w:tcBorders>
              <w:top w:val="nil"/>
              <w:left w:val="nil"/>
              <w:bottom w:val="nil"/>
              <w:right w:val="nil"/>
            </w:tcBorders>
            <w:shd w:val="clear" w:color="auto" w:fill="auto"/>
            <w:tcMar>
              <w:top w:w="0" w:type="dxa"/>
              <w:left w:w="0" w:type="dxa"/>
              <w:bottom w:w="0" w:type="dxa"/>
              <w:right w:w="227" w:type="dxa"/>
            </w:tcMar>
          </w:tcPr>
          <w:p w14:paraId="23D2EA96" w14:textId="77777777" w:rsidR="007E28FD" w:rsidRDefault="007E28FD">
            <w:pPr>
              <w:rPr>
                <w:sz w:val="20"/>
                <w:szCs w:val="20"/>
              </w:rPr>
            </w:pPr>
          </w:p>
        </w:tc>
        <w:tc>
          <w:tcPr>
            <w:tcW w:w="1750" w:type="pct"/>
            <w:tcBorders>
              <w:top w:val="nil"/>
              <w:left w:val="nil"/>
              <w:bottom w:val="nil"/>
              <w:right w:val="nil"/>
            </w:tcBorders>
            <w:shd w:val="clear" w:color="auto" w:fill="auto"/>
            <w:tcMar>
              <w:top w:w="0" w:type="dxa"/>
              <w:left w:w="0" w:type="dxa"/>
              <w:bottom w:w="0" w:type="dxa"/>
              <w:right w:w="227" w:type="dxa"/>
            </w:tcMar>
          </w:tcPr>
          <w:p w14:paraId="6D7E5415" w14:textId="77777777" w:rsidR="007E28FD" w:rsidRDefault="007E28FD">
            <w:pPr>
              <w:rPr>
                <w:sz w:val="20"/>
                <w:szCs w:val="20"/>
              </w:rPr>
            </w:pPr>
          </w:p>
        </w:tc>
      </w:tr>
    </w:tbl>
    <w:p w14:paraId="377AD554" w14:textId="77777777" w:rsidR="00EE72A1" w:rsidRDefault="00EE72A1" w:rsidP="00EE72A1">
      <w:pPr>
        <w:spacing w:line="240" w:lineRule="auto"/>
        <w:rPr>
          <w:sz w:val="17"/>
          <w:szCs w:val="17"/>
        </w:rPr>
      </w:pPr>
      <w:r>
        <w:rPr>
          <w:b/>
          <w:sz w:val="17"/>
          <w:szCs w:val="17"/>
        </w:rPr>
        <w:t>1</w:t>
      </w:r>
      <w:r>
        <w:rPr>
          <w:sz w:val="17"/>
          <w:szCs w:val="17"/>
        </w:rPr>
        <w:t xml:space="preserve"> Zum 1. Juli 2025 hat Alexander Eichler die Geschäftsführung von </w:t>
      </w:r>
      <w:proofErr w:type="spellStart"/>
      <w:r>
        <w:rPr>
          <w:sz w:val="17"/>
          <w:szCs w:val="17"/>
        </w:rPr>
        <w:t>moebelplus</w:t>
      </w:r>
      <w:proofErr w:type="spellEnd"/>
      <w:r>
        <w:rPr>
          <w:sz w:val="17"/>
          <w:szCs w:val="17"/>
        </w:rPr>
        <w:t xml:space="preserve"> übernommen.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E72A1" w14:paraId="47F4DF93" w14:textId="77777777" w:rsidTr="00082F9D">
        <w:tc>
          <w:tcPr>
            <w:tcW w:w="2444" w:type="pct"/>
            <w:tcBorders>
              <w:top w:val="nil"/>
              <w:left w:val="nil"/>
              <w:bottom w:val="nil"/>
              <w:right w:val="nil"/>
            </w:tcBorders>
            <w:shd w:val="clear" w:color="auto" w:fill="auto"/>
            <w:tcMar>
              <w:top w:w="0" w:type="dxa"/>
              <w:left w:w="0" w:type="dxa"/>
              <w:bottom w:w="0" w:type="dxa"/>
              <w:right w:w="0" w:type="dxa"/>
            </w:tcMar>
          </w:tcPr>
          <w:p w14:paraId="7E56CD74" w14:textId="77777777" w:rsidR="00EE72A1" w:rsidRDefault="00EE72A1" w:rsidP="00082F9D">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6314E874" w14:textId="77777777" w:rsidR="00EE72A1" w:rsidRDefault="00EE72A1" w:rsidP="00082F9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4269A29" w14:textId="77777777" w:rsidR="00EE72A1" w:rsidRDefault="00EE72A1" w:rsidP="00082F9D">
            <w:pPr>
              <w:keepNext/>
              <w:keepLines/>
              <w:spacing w:line="240" w:lineRule="auto"/>
              <w:rPr>
                <w:sz w:val="14"/>
                <w:szCs w:val="14"/>
              </w:rPr>
            </w:pPr>
          </w:p>
        </w:tc>
      </w:tr>
      <w:tr w:rsidR="00EE72A1" w14:paraId="13C7D4AF" w14:textId="77777777" w:rsidTr="00082F9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831EB96" w14:textId="77777777" w:rsidR="00EE72A1" w:rsidRDefault="00EE72A1" w:rsidP="00082F9D">
            <w:pPr>
              <w:keepNext/>
              <w:keepLines/>
              <w:spacing w:line="240" w:lineRule="auto"/>
              <w:rPr>
                <w:sz w:val="14"/>
                <w:szCs w:val="14"/>
              </w:rPr>
            </w:pPr>
            <w:r>
              <w:rPr>
                <w:noProof/>
                <w:sz w:val="14"/>
                <w:szCs w:val="14"/>
              </w:rPr>
              <w:drawing>
                <wp:inline distT="0" distB="0" distL="0" distR="0" wp14:anchorId="6D207779" wp14:editId="1194476F">
                  <wp:extent cx="3023235" cy="19380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19380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E27A385" w14:textId="77777777" w:rsidR="00EE72A1" w:rsidRDefault="00EE72A1" w:rsidP="00082F9D">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61B910D6" w14:textId="77777777" w:rsidR="00EE72A1" w:rsidRDefault="00EE72A1" w:rsidP="00082F9D">
            <w:pPr>
              <w:keepNext/>
              <w:keepLines/>
              <w:spacing w:line="240" w:lineRule="auto"/>
              <w:rPr>
                <w:sz w:val="17"/>
                <w:szCs w:val="17"/>
              </w:rPr>
            </w:pPr>
          </w:p>
        </w:tc>
      </w:tr>
      <w:tr w:rsidR="00EE72A1" w14:paraId="04773B09" w14:textId="77777777" w:rsidTr="00082F9D">
        <w:tc>
          <w:tcPr>
            <w:tcW w:w="2444" w:type="pct"/>
            <w:tcBorders>
              <w:top w:val="nil"/>
              <w:left w:val="nil"/>
              <w:bottom w:val="nil"/>
              <w:right w:val="nil"/>
            </w:tcBorders>
            <w:shd w:val="clear" w:color="auto" w:fill="auto"/>
            <w:tcMar>
              <w:top w:w="0" w:type="dxa"/>
              <w:left w:w="0" w:type="dxa"/>
              <w:bottom w:w="0" w:type="dxa"/>
              <w:right w:w="0" w:type="dxa"/>
            </w:tcMar>
          </w:tcPr>
          <w:p w14:paraId="74370979" w14:textId="77777777" w:rsidR="00EE72A1" w:rsidRDefault="00EE72A1" w:rsidP="00082F9D">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E73673B" w14:textId="77777777" w:rsidR="00EE72A1" w:rsidRDefault="00EE72A1" w:rsidP="00082F9D">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C4C4170" w14:textId="77777777" w:rsidR="00EE72A1" w:rsidRDefault="00EE72A1" w:rsidP="00082F9D">
            <w:pPr>
              <w:keepNext/>
              <w:keepLines/>
              <w:spacing w:line="240" w:lineRule="auto"/>
              <w:rPr>
                <w:sz w:val="17"/>
                <w:szCs w:val="17"/>
              </w:rPr>
            </w:pPr>
          </w:p>
        </w:tc>
      </w:tr>
    </w:tbl>
    <w:p w14:paraId="39EDADE5" w14:textId="77777777" w:rsidR="007E28FD" w:rsidRDefault="00000000">
      <w:r>
        <w:br w:type="page"/>
      </w:r>
    </w:p>
    <w:p w14:paraId="679B045E" w14:textId="7B73E986" w:rsidR="007E28FD" w:rsidRDefault="007E28FD">
      <w:pPr>
        <w:spacing w:line="240" w:lineRule="auto"/>
      </w:pP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7E28FD" w14:paraId="133B1760"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41037E5D" w14:textId="77777777" w:rsidR="007E28FD" w:rsidRPr="00EE72A1" w:rsidRDefault="00000000">
            <w:pPr>
              <w:spacing w:before="240" w:after="240"/>
              <w:rPr>
                <w:sz w:val="20"/>
                <w:szCs w:val="20"/>
                <w:lang w:val="en-GB"/>
              </w:rPr>
            </w:pPr>
            <w:proofErr w:type="spellStart"/>
            <w:r w:rsidRPr="00EE72A1">
              <w:rPr>
                <w:b/>
                <w:sz w:val="20"/>
                <w:szCs w:val="20"/>
                <w:lang w:val="en-GB"/>
              </w:rPr>
              <w:t>Über</w:t>
            </w:r>
            <w:proofErr w:type="spellEnd"/>
            <w:r w:rsidRPr="00EE72A1">
              <w:rPr>
                <w:b/>
                <w:sz w:val="20"/>
                <w:szCs w:val="20"/>
                <w:lang w:val="en-GB"/>
              </w:rPr>
              <w:t xml:space="preserve"> </w:t>
            </w:r>
            <w:proofErr w:type="spellStart"/>
            <w:r w:rsidRPr="00EE72A1">
              <w:rPr>
                <w:b/>
                <w:sz w:val="20"/>
                <w:szCs w:val="20"/>
                <w:lang w:val="en-GB"/>
              </w:rPr>
              <w:t>Häfele</w:t>
            </w:r>
            <w:proofErr w:type="spellEnd"/>
          </w:p>
          <w:p w14:paraId="3E13850F" w14:textId="77777777" w:rsidR="007E28FD" w:rsidRDefault="00000000">
            <w:pPr>
              <w:spacing w:before="240" w:after="240"/>
              <w:rPr>
                <w:sz w:val="20"/>
                <w:szCs w:val="20"/>
              </w:rPr>
            </w:pPr>
            <w:r w:rsidRPr="00EE72A1">
              <w:rPr>
                <w:b/>
                <w:sz w:val="20"/>
                <w:szCs w:val="20"/>
                <w:lang w:val="en-GB"/>
              </w:rPr>
              <w:t xml:space="preserve">Maximising the value of space. </w:t>
            </w:r>
            <w:proofErr w:type="spellStart"/>
            <w:r>
              <w:rPr>
                <w:b/>
                <w:sz w:val="20"/>
                <w:szCs w:val="20"/>
              </w:rPr>
              <w:t>Together</w:t>
            </w:r>
            <w:proofErr w:type="spellEnd"/>
            <w:r>
              <w:rPr>
                <w:b/>
                <w:sz w:val="20"/>
                <w:szCs w:val="20"/>
              </w:rPr>
              <w:t>.</w:t>
            </w:r>
          </w:p>
          <w:p w14:paraId="0DE47109" w14:textId="77777777" w:rsidR="007E28FD"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0FD11EEB" w14:textId="77777777" w:rsidR="007E28FD"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649BDD22" w14:textId="77777777" w:rsidR="007E28FD" w:rsidRDefault="00000000">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ist Vorsitzende des Verwaltungsrats und Gesellschafterin des 100%igen Familienunternehmens. Im Geschäftsjahr 2024 erzielte die Häfele Gruppe einen Umsatz von 1,74 Mrd. Euro bei einem Exportanteil von 82%.</w:t>
            </w:r>
          </w:p>
          <w:p w14:paraId="4A7F514B" w14:textId="77777777" w:rsidR="007E28FD" w:rsidRDefault="00000000">
            <w:pPr>
              <w:spacing w:before="240" w:after="240"/>
              <w:rPr>
                <w:sz w:val="20"/>
                <w:szCs w:val="20"/>
              </w:rPr>
            </w:pPr>
            <w:r>
              <w:rPr>
                <w:sz w:val="20"/>
                <w:szCs w:val="20"/>
              </w:rPr>
              <w:t xml:space="preserve">Weitere Informationen unter </w:t>
            </w:r>
            <w:hyperlink r:id="rId8">
              <w:r w:rsidR="007E28FD">
                <w:rPr>
                  <w:rStyle w:val="Hyperlink"/>
                  <w:color w:val="000000"/>
                  <w:sz w:val="20"/>
                  <w:szCs w:val="20"/>
                </w:rPr>
                <w:t>www.haefele.de</w:t>
              </w:r>
            </w:hyperlink>
          </w:p>
          <w:p w14:paraId="115E9253" w14:textId="77777777" w:rsidR="007E28FD"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74203917" w14:textId="77777777" w:rsidR="007E28FD" w:rsidRDefault="00000000">
            <w:pPr>
              <w:rPr>
                <w:sz w:val="20"/>
                <w:szCs w:val="20"/>
              </w:rPr>
            </w:pPr>
            <w:r>
              <w:rPr>
                <w:sz w:val="20"/>
                <w:szCs w:val="20"/>
              </w:rPr>
              <w:br/>
            </w:r>
          </w:p>
        </w:tc>
      </w:tr>
      <w:tr w:rsidR="007E28FD" w14:paraId="61FC777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CFC86A1" w14:textId="77777777" w:rsidR="007E28FD" w:rsidRDefault="007E28FD">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5EC5B6A3" w14:textId="77777777" w:rsidR="007E28FD" w:rsidRDefault="007E28FD">
            <w:pPr>
              <w:rPr>
                <w:sz w:val="20"/>
                <w:szCs w:val="20"/>
              </w:rPr>
            </w:pPr>
          </w:p>
        </w:tc>
      </w:tr>
    </w:tbl>
    <w:p w14:paraId="2D80BBF2" w14:textId="77777777" w:rsidR="007E28FD"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7E28FD" w14:paraId="035A65E8"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EB6FBF8" w14:textId="77777777" w:rsidR="007E28FD"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0CED36C2" w14:textId="77777777" w:rsidR="007E28FD" w:rsidRDefault="00000000">
            <w:pPr>
              <w:rPr>
                <w:sz w:val="20"/>
                <w:szCs w:val="20"/>
              </w:rPr>
            </w:pPr>
            <w:r>
              <w:rPr>
                <w:sz w:val="20"/>
                <w:szCs w:val="20"/>
              </w:rPr>
              <w:br/>
            </w:r>
          </w:p>
        </w:tc>
      </w:tr>
      <w:tr w:rsidR="007E28FD" w14:paraId="2CE3F4A4"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E0415F3" w14:textId="77777777" w:rsidR="007E28FD" w:rsidRDefault="007E28FD">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DCAEC9C" w14:textId="77777777" w:rsidR="007E28FD" w:rsidRDefault="007E28FD">
            <w:pPr>
              <w:rPr>
                <w:sz w:val="20"/>
                <w:szCs w:val="20"/>
              </w:rPr>
            </w:pPr>
          </w:p>
        </w:tc>
      </w:tr>
    </w:tbl>
    <w:p w14:paraId="402CF47F" w14:textId="77777777" w:rsidR="007E28FD" w:rsidRDefault="00000000">
      <w:r>
        <w:rPr>
          <w:noProof/>
          <w:sz w:val="18"/>
          <w:szCs w:val="18"/>
        </w:rPr>
        <w:drawing>
          <wp:inline distT="0" distB="0" distL="0" distR="0" wp14:anchorId="3768C72E" wp14:editId="49ADF013">
            <wp:extent cx="1800860" cy="18008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800860" cy="1800860"/>
                    </a:xfrm>
                    <a:prstGeom prst="rect">
                      <a:avLst/>
                    </a:prstGeom>
                  </pic:spPr>
                </pic:pic>
              </a:graphicData>
            </a:graphic>
          </wp:inline>
        </w:drawing>
      </w:r>
      <w:r>
        <w:rPr>
          <w:sz w:val="18"/>
          <w:szCs w:val="18"/>
        </w:rPr>
        <w:br/>
      </w:r>
    </w:p>
    <w:sectPr w:rsidR="007E28FD">
      <w:headerReference w:type="default" r:id="rId10"/>
      <w:footerReference w:type="default" r:id="rId11"/>
      <w:headerReference w:type="first" r:id="rId12"/>
      <w:footerReference w:type="first" r:id="rId13"/>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62167" w14:textId="77777777" w:rsidR="00F32878" w:rsidRDefault="00F32878">
      <w:pPr>
        <w:spacing w:line="240" w:lineRule="auto"/>
      </w:pPr>
      <w:r>
        <w:separator/>
      </w:r>
    </w:p>
  </w:endnote>
  <w:endnote w:type="continuationSeparator" w:id="0">
    <w:p w14:paraId="2900A1EE" w14:textId="77777777" w:rsidR="00F32878" w:rsidRDefault="00F328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7E28FD" w14:paraId="186B3C00"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7C965691" w14:textId="77777777" w:rsidR="007E28FD" w:rsidRDefault="007E28FD">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E83FC1A" w14:textId="77777777" w:rsidR="007E28FD" w:rsidRDefault="007E28FD">
          <w:pPr>
            <w:rPr>
              <w:sz w:val="14"/>
              <w:szCs w:val="14"/>
            </w:rPr>
          </w:pPr>
        </w:p>
      </w:tc>
    </w:tr>
  </w:tbl>
  <w:p w14:paraId="64E99B92" w14:textId="77777777" w:rsidR="007E28FD" w:rsidRDefault="007E28F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7E28FD" w14:paraId="6A417EF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71AF2BF" w14:textId="77777777" w:rsidR="007E28FD" w:rsidRDefault="007E28FD">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FDF72BC" w14:textId="77777777" w:rsidR="007E28FD" w:rsidRDefault="007E28FD">
          <w:pPr>
            <w:rPr>
              <w:sz w:val="14"/>
              <w:szCs w:val="14"/>
            </w:rPr>
          </w:pPr>
        </w:p>
      </w:tc>
    </w:tr>
  </w:tbl>
  <w:p w14:paraId="6DB0E6DA" w14:textId="77777777" w:rsidR="007E28FD" w:rsidRDefault="007E28F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CC230" w14:textId="77777777" w:rsidR="00F32878" w:rsidRDefault="00F32878">
      <w:pPr>
        <w:spacing w:line="240" w:lineRule="auto"/>
      </w:pPr>
      <w:r>
        <w:separator/>
      </w:r>
    </w:p>
  </w:footnote>
  <w:footnote w:type="continuationSeparator" w:id="0">
    <w:p w14:paraId="24AA78B4" w14:textId="77777777" w:rsidR="00F32878" w:rsidRDefault="00F328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D695" w14:textId="77777777" w:rsidR="007E28FD" w:rsidRDefault="00000000">
    <w:r>
      <w:rPr>
        <w:noProof/>
      </w:rPr>
      <w:drawing>
        <wp:anchor distT="0" distB="0" distL="114300" distR="114300" simplePos="0" relativeHeight="251659264" behindDoc="0" locked="0" layoutInCell="0" allowOverlap="0" wp14:anchorId="3571D389" wp14:editId="6ACD104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1D2A9" w14:textId="77777777" w:rsidR="007E28FD" w:rsidRDefault="00000000">
    <w:r>
      <w:rPr>
        <w:noProof/>
      </w:rPr>
      <w:drawing>
        <wp:anchor distT="0" distB="0" distL="114300" distR="114300" simplePos="0" relativeHeight="251658240" behindDoc="0" locked="0" layoutInCell="0" allowOverlap="0" wp14:anchorId="57F54D27" wp14:editId="789DAC34">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FD"/>
    <w:rsid w:val="000D66F8"/>
    <w:rsid w:val="004A24AD"/>
    <w:rsid w:val="007E28FD"/>
    <w:rsid w:val="00CE2685"/>
    <w:rsid w:val="00D27F8C"/>
    <w:rsid w:val="00E504FA"/>
    <w:rsid w:val="00EE72A1"/>
    <w:rsid w:val="00F32878"/>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4E9D7"/>
  <w15:docId w15:val="{AA5129E0-77A7-4255-AF6A-8E4B9953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aefele.de/de/"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3894</Characters>
  <Application>Microsoft Office Word</Application>
  <DocSecurity>0</DocSecurity>
  <Lines>32</Lines>
  <Paragraphs>9</Paragraphs>
  <ScaleCrop>false</ScaleCrop>
  <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2025-07-17T08:24:00Z</dcterms:created>
  <dcterms:modified xsi:type="dcterms:W3CDTF">2025-07-17T08:25:00Z</dcterms:modified>
</cp:coreProperties>
</file>