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DF81D" w14:textId="77777777" w:rsidR="000C351D" w:rsidRDefault="004110ED">
      <w:pPr>
        <w:rPr>
          <w:b/>
          <w:bCs/>
          <w:sz w:val="32"/>
          <w:szCs w:val="32"/>
        </w:rPr>
      </w:pPr>
      <w:r>
        <w:rPr>
          <w:b/>
          <w:bCs/>
          <w:sz w:val="32"/>
          <w:szCs w:val="32"/>
        </w:rPr>
        <w:t>Eintauchen in die Welt von TOTO</w:t>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0C351D" w14:paraId="1CE532B9"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5C146C51" w14:textId="77777777" w:rsidR="000C351D" w:rsidRDefault="004110ED">
            <w:r>
              <w:rPr>
                <w:rFonts w:eastAsia="Arial"/>
              </w:rPr>
              <w:t>TOTO lädt ein, die neue faszinierende Badezimmerwelt im Forum auf der ISH 2025 vom 17. bis 21. März 2025 zu erleben.</w:t>
            </w:r>
          </w:p>
        </w:tc>
        <w:tc>
          <w:tcPr>
            <w:tcW w:w="1200" w:type="pct"/>
            <w:tcBorders>
              <w:top w:val="nil"/>
              <w:left w:val="nil"/>
              <w:bottom w:val="nil"/>
              <w:right w:val="nil"/>
            </w:tcBorders>
            <w:shd w:val="clear" w:color="auto" w:fill="auto"/>
            <w:tcMar>
              <w:top w:w="0" w:type="dxa"/>
              <w:left w:w="0" w:type="dxa"/>
              <w:bottom w:w="0" w:type="dxa"/>
              <w:right w:w="227" w:type="dxa"/>
            </w:tcMar>
          </w:tcPr>
          <w:p w14:paraId="168C3BF7" w14:textId="77777777" w:rsidR="000C351D" w:rsidRDefault="000C351D"/>
        </w:tc>
      </w:tr>
      <w:tr w:rsidR="000C351D" w14:paraId="0CF7B480"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1FD79B55" w14:textId="77777777" w:rsidR="000C351D" w:rsidRDefault="000C351D"/>
        </w:tc>
        <w:tc>
          <w:tcPr>
            <w:tcW w:w="2736" w:type="dxa"/>
            <w:tcBorders>
              <w:top w:val="nil"/>
              <w:left w:val="nil"/>
              <w:bottom w:val="nil"/>
              <w:right w:val="nil"/>
            </w:tcBorders>
            <w:shd w:val="clear" w:color="auto" w:fill="auto"/>
            <w:tcMar>
              <w:top w:w="0" w:type="dxa"/>
              <w:left w:w="0" w:type="dxa"/>
              <w:bottom w:w="0" w:type="dxa"/>
              <w:right w:w="227" w:type="dxa"/>
            </w:tcMar>
          </w:tcPr>
          <w:p w14:paraId="2D6EC13B" w14:textId="77777777" w:rsidR="000C351D" w:rsidRDefault="000C351D"/>
        </w:tc>
      </w:tr>
    </w:tbl>
    <w:p w14:paraId="15D45198" w14:textId="77777777" w:rsidR="000C351D" w:rsidRDefault="004110ED">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0C351D" w14:paraId="0D512D38"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D4AE573" w14:textId="77777777" w:rsidR="000C351D" w:rsidRDefault="004110ED">
            <w:pPr>
              <w:rPr>
                <w:sz w:val="18"/>
                <w:szCs w:val="18"/>
              </w:rPr>
            </w:pPr>
            <w:r>
              <w:rPr>
                <w:noProof/>
                <w:sz w:val="18"/>
                <w:szCs w:val="18"/>
              </w:rPr>
              <w:drawing>
                <wp:inline distT="0" distB="0" distL="0" distR="0" wp14:anchorId="09DE78F7" wp14:editId="1484113F">
                  <wp:extent cx="3995420" cy="19621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rotWithShape="1">
                          <a:blip r:embed="rId6"/>
                          <a:srcRect b="26341"/>
                          <a:stretch/>
                        </pic:blipFill>
                        <pic:spPr bwMode="auto">
                          <a:xfrm>
                            <a:off x="0" y="0"/>
                            <a:ext cx="3995420" cy="19621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4078E9" w14:textId="77777777" w:rsidR="000C351D" w:rsidRDefault="004110ED">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0C351D" w14:paraId="5EDBD7F5" w14:textId="77777777">
        <w:tc>
          <w:tcPr>
            <w:tcW w:w="3800" w:type="pct"/>
            <w:tcBorders>
              <w:top w:val="nil"/>
              <w:left w:val="nil"/>
              <w:bottom w:val="nil"/>
              <w:right w:val="nil"/>
            </w:tcBorders>
            <w:shd w:val="clear" w:color="auto" w:fill="auto"/>
            <w:tcMar>
              <w:top w:w="0" w:type="dxa"/>
              <w:left w:w="0" w:type="dxa"/>
              <w:bottom w:w="0" w:type="dxa"/>
              <w:right w:w="227" w:type="dxa"/>
            </w:tcMar>
          </w:tcPr>
          <w:p w14:paraId="0A6B6BFF" w14:textId="77777777" w:rsidR="000C351D" w:rsidRDefault="004110ED">
            <w:pPr>
              <w:spacing w:after="240"/>
              <w:rPr>
                <w:sz w:val="20"/>
                <w:szCs w:val="20"/>
              </w:rPr>
            </w:pPr>
            <w:r>
              <w:rPr>
                <w:i/>
                <w:sz w:val="20"/>
                <w:szCs w:val="20"/>
              </w:rPr>
              <w:t xml:space="preserve">Auf der Weltleitmesse für Wasser, Wärme, Luft präsentiert sich der weltweit agierende </w:t>
            </w:r>
            <w:r>
              <w:rPr>
                <w:i/>
                <w:sz w:val="20"/>
                <w:szCs w:val="20"/>
              </w:rPr>
              <w:t>japanische Sanitärexperte und Komplettbadanbieter TOTO bereits zum zweiten Mal im Forum auf der ISH 2025. Die Besucherinnen und Besucher dürfen sich auf einer beeindruckenden Fläche von 1.500 Quadratmetern auf inspirierende Neuheiten, hochwertige Sanitärke</w:t>
            </w:r>
            <w:r>
              <w:rPr>
                <w:i/>
                <w:sz w:val="20"/>
                <w:szCs w:val="20"/>
              </w:rPr>
              <w:t>ramik, Armaturen und Accessoires und die weltberühmte japanische Gastfreundschaft freuen.</w:t>
            </w:r>
          </w:p>
          <w:p w14:paraId="561AD819" w14:textId="77777777" w:rsidR="000C351D" w:rsidRDefault="004110ED">
            <w:pPr>
              <w:spacing w:after="240"/>
              <w:rPr>
                <w:sz w:val="20"/>
                <w:szCs w:val="20"/>
              </w:rPr>
            </w:pPr>
            <w:r>
              <w:rPr>
                <w:sz w:val="20"/>
                <w:szCs w:val="20"/>
              </w:rPr>
              <w:t>Als Synonym für innovative Badlösungen inspiriert TOTO auch in diesem Messejahr mit kreativen Neuerungen und zeitlos elegantem Design im Badezimmer. Das japanische Un</w:t>
            </w:r>
            <w:r>
              <w:rPr>
                <w:sz w:val="20"/>
                <w:szCs w:val="20"/>
              </w:rPr>
              <w:t>ternehmen schafft neue Gestaltungsmöglichkeiten und setzt mit seinen innovativen Produkten frische Impulse für modernen Minimalismus mit funktionalen Highlights.</w:t>
            </w:r>
          </w:p>
          <w:p w14:paraId="5EE11557" w14:textId="77777777" w:rsidR="000C351D" w:rsidRDefault="004110ED">
            <w:pPr>
              <w:spacing w:after="240"/>
              <w:rPr>
                <w:sz w:val="20"/>
                <w:szCs w:val="20"/>
              </w:rPr>
            </w:pPr>
            <w:r>
              <w:rPr>
                <w:b/>
                <w:sz w:val="20"/>
                <w:szCs w:val="20"/>
              </w:rPr>
              <w:t>Lassen Sie sich inspirieren</w:t>
            </w:r>
          </w:p>
          <w:p w14:paraId="7BFC97C6" w14:textId="77777777" w:rsidR="000C351D" w:rsidRDefault="004110ED">
            <w:pPr>
              <w:spacing w:after="240"/>
              <w:rPr>
                <w:sz w:val="20"/>
                <w:szCs w:val="20"/>
              </w:rPr>
            </w:pPr>
            <w:r>
              <w:rPr>
                <w:sz w:val="20"/>
                <w:szCs w:val="20"/>
              </w:rPr>
              <w:t xml:space="preserve">TOTO stellt auf der ISH 2025 unter anderem die Erweiterung seines </w:t>
            </w:r>
            <w:r>
              <w:rPr>
                <w:sz w:val="20"/>
                <w:szCs w:val="20"/>
              </w:rPr>
              <w:t xml:space="preserve">Farb- und Oberflächenspektrums um die visuell und haptisch anregenden Varianten in Schwarz matt und Weiß matt vor. Diese neuen Gestaltungsoptionen ermöglichen noch individuellere Badkonzepte mit mehr schöpferischer Planungsfreiheit. Darüber hinaus gewährt </w:t>
            </w:r>
            <w:r>
              <w:rPr>
                <w:sz w:val="20"/>
                <w:szCs w:val="20"/>
              </w:rPr>
              <w:t>TOTO auf der Messe einen exklusiven Einblick in seine visionären Entwicklungen für die Zukunft der Intimhygiene.</w:t>
            </w:r>
          </w:p>
          <w:p w14:paraId="245779B9" w14:textId="77777777" w:rsidR="000C351D" w:rsidRDefault="004110ED">
            <w:pPr>
              <w:spacing w:after="240"/>
              <w:rPr>
                <w:sz w:val="20"/>
                <w:szCs w:val="20"/>
              </w:rPr>
            </w:pPr>
            <w:r>
              <w:rPr>
                <w:b/>
                <w:sz w:val="20"/>
                <w:szCs w:val="20"/>
              </w:rPr>
              <w:t>Persönliche Führungen und Gespräche</w:t>
            </w:r>
          </w:p>
          <w:p w14:paraId="4AE56C2C" w14:textId="77777777" w:rsidR="000C351D" w:rsidRDefault="004110ED">
            <w:pPr>
              <w:spacing w:after="240"/>
              <w:rPr>
                <w:sz w:val="20"/>
                <w:szCs w:val="20"/>
              </w:rPr>
            </w:pPr>
            <w:r>
              <w:rPr>
                <w:sz w:val="20"/>
                <w:szCs w:val="20"/>
              </w:rPr>
              <w:t>Für einen detaillierten Überblick über die umfangreiche TOTO Produktwelt stehen die Expertinnen und Experte</w:t>
            </w:r>
            <w:r>
              <w:rPr>
                <w:sz w:val="20"/>
                <w:szCs w:val="20"/>
              </w:rPr>
              <w:t>n von TOTO persönlich zur Verfügung und führen über den weitläufigen Messestand im Forum.</w:t>
            </w:r>
          </w:p>
          <w:p w14:paraId="5E73B624" w14:textId="77777777" w:rsidR="000C351D" w:rsidRDefault="004110ED">
            <w:pPr>
              <w:rPr>
                <w:sz w:val="20"/>
                <w:szCs w:val="20"/>
              </w:rPr>
            </w:pPr>
            <w:r>
              <w:rPr>
                <w:sz w:val="20"/>
                <w:szCs w:val="20"/>
              </w:rPr>
              <w:t>Düsseldorf, Januar 2025</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14:paraId="181F5AF9" w14:textId="77777777" w:rsidR="000C351D" w:rsidRDefault="004110ED">
            <w:pPr>
              <w:spacing w:after="240"/>
              <w:rPr>
                <w:sz w:val="20"/>
                <w:szCs w:val="20"/>
              </w:rPr>
            </w:pPr>
            <w:r>
              <w:rPr>
                <w:b/>
                <w:sz w:val="20"/>
                <w:szCs w:val="20"/>
              </w:rPr>
              <w:t>Ansprechpartner für Journalisten:</w:t>
            </w:r>
            <w:r>
              <w:rPr>
                <w:b/>
                <w:sz w:val="20"/>
                <w:szCs w:val="20"/>
              </w:rPr>
              <w:br/>
            </w:r>
            <w:r>
              <w:rPr>
                <w:sz w:val="20"/>
                <w:szCs w:val="20"/>
              </w:rPr>
              <w:t>bering*kopal GbR, Büro für Kommunikation</w:t>
            </w:r>
            <w:r>
              <w:rPr>
                <w:sz w:val="20"/>
                <w:szCs w:val="20"/>
              </w:rPr>
              <w:br/>
              <w:t>Heike Bering</w:t>
            </w:r>
            <w:r>
              <w:rPr>
                <w:sz w:val="20"/>
                <w:szCs w:val="20"/>
              </w:rPr>
              <w:br/>
              <w:t>Tel. +49 (0)711 74</w:t>
            </w:r>
            <w:r>
              <w:rPr>
                <w:sz w:val="20"/>
                <w:szCs w:val="20"/>
              </w:rPr>
              <w:t>51 759 15</w:t>
            </w:r>
          </w:p>
          <w:p w14:paraId="05F1B869" w14:textId="77777777" w:rsidR="000C351D" w:rsidRDefault="004110ED">
            <w:pPr>
              <w:spacing w:after="240"/>
              <w:rPr>
                <w:sz w:val="20"/>
                <w:szCs w:val="20"/>
              </w:rPr>
            </w:pPr>
            <w:proofErr w:type="spellStart"/>
            <w:proofErr w:type="gramStart"/>
            <w:r>
              <w:rPr>
                <w:sz w:val="20"/>
                <w:szCs w:val="20"/>
              </w:rPr>
              <w:t>heike.bering</w:t>
            </w:r>
            <w:proofErr w:type="spellEnd"/>
            <w:proofErr w:type="gramEnd"/>
            <w:r>
              <w:rPr>
                <w:sz w:val="20"/>
                <w:szCs w:val="20"/>
              </w:rPr>
              <w:t>@</w:t>
            </w:r>
            <w:r>
              <w:rPr>
                <w:sz w:val="20"/>
                <w:szCs w:val="20"/>
              </w:rPr>
              <w:br/>
              <w:t>bering-kopal.de</w:t>
            </w:r>
          </w:p>
          <w:p w14:paraId="253C3F3B" w14:textId="77777777" w:rsidR="000C351D" w:rsidRDefault="004110ED">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r>
            <w:proofErr w:type="spellStart"/>
            <w:r>
              <w:rPr>
                <w:sz w:val="20"/>
                <w:szCs w:val="20"/>
              </w:rPr>
              <w:t>anja.giersiepen</w:t>
            </w:r>
            <w:proofErr w:type="spellEnd"/>
            <w:r>
              <w:rPr>
                <w:sz w:val="20"/>
                <w:szCs w:val="20"/>
              </w:rPr>
              <w:t>@</w:t>
            </w:r>
            <w:r>
              <w:rPr>
                <w:sz w:val="20"/>
                <w:szCs w:val="20"/>
              </w:rPr>
              <w:br/>
              <w:t>toto.com</w:t>
            </w:r>
          </w:p>
          <w:p w14:paraId="13527EEC" w14:textId="77777777" w:rsidR="000C351D" w:rsidRDefault="004110ED">
            <w:pPr>
              <w:rPr>
                <w:sz w:val="20"/>
                <w:szCs w:val="20"/>
              </w:rPr>
            </w:pPr>
            <w:r>
              <w:rPr>
                <w:sz w:val="20"/>
                <w:szCs w:val="20"/>
              </w:rPr>
              <w:t>TOTO im Internet:</w:t>
            </w:r>
            <w:r>
              <w:rPr>
                <w:sz w:val="20"/>
                <w:szCs w:val="20"/>
              </w:rPr>
              <w:br/>
            </w:r>
            <w:hyperlink r:id="rId7">
              <w:r>
                <w:rPr>
                  <w:rStyle w:val="Hyperlink"/>
                  <w:color w:val="000000"/>
                  <w:sz w:val="20"/>
                  <w:szCs w:val="20"/>
                </w:rPr>
                <w:t>eu.toto.com/de</w:t>
              </w:r>
            </w:hyperlink>
          </w:p>
        </w:tc>
      </w:tr>
    </w:tbl>
    <w:p w14:paraId="32F8C2FF" w14:textId="77777777" w:rsidR="000C351D" w:rsidRDefault="004110ED">
      <w:r>
        <w:br w:type="page"/>
      </w:r>
    </w:p>
    <w:p w14:paraId="0C5D872F" w14:textId="77777777" w:rsidR="000C351D" w:rsidRDefault="004110ED">
      <w:pPr>
        <w:rPr>
          <w:sz w:val="17"/>
          <w:szCs w:val="17"/>
        </w:rPr>
      </w:pPr>
      <w:r>
        <w:rPr>
          <w:b/>
          <w:sz w:val="17"/>
          <w:szCs w:val="17"/>
        </w:rPr>
        <w:lastRenderedPageBreak/>
        <w:t>1</w:t>
      </w:r>
      <w:r>
        <w:rPr>
          <w:sz w:val="17"/>
          <w:szCs w:val="17"/>
        </w:rPr>
        <w:t xml:space="preserve"> Im weitläufigen Forum 0 der ISH 2025 stellt TOTO den Menschen mit seinen Bedürfnissen nach Komfort, Hygiene und Benutzerfreundlichkeit auch in diesem Jahr wieder in den Mittelpunkt – ganz im Sinne der japanischen Kultur und Philosophie. Bild: Messe Frankf</w:t>
      </w:r>
      <w:r>
        <w:rPr>
          <w:sz w:val="17"/>
          <w:szCs w:val="17"/>
        </w:rPr>
        <w:t>urt</w:t>
      </w:r>
      <w:r>
        <w:rPr>
          <w:sz w:val="17"/>
          <w:szCs w:val="17"/>
        </w:rPr>
        <w:br/>
      </w:r>
    </w:p>
    <w:p w14:paraId="7B17C1AE" w14:textId="77777777" w:rsidR="000C351D" w:rsidRDefault="004110ED">
      <w:pPr>
        <w:rPr>
          <w:sz w:val="17"/>
          <w:szCs w:val="17"/>
        </w:rPr>
      </w:pPr>
      <w:r>
        <w:rPr>
          <w:b/>
          <w:sz w:val="17"/>
          <w:szCs w:val="17"/>
        </w:rPr>
        <w:t>2</w:t>
      </w:r>
      <w:r>
        <w:rPr>
          <w:sz w:val="17"/>
          <w:szCs w:val="17"/>
        </w:rPr>
        <w:t xml:space="preserve"> Neu auf der ISH 2025: Den asymmetrischen Aufsatzwaschtisch TA gibt es jetzt auch in Schwarz matt als neue elegante Farb- und Oberflächenvariante. Seine organische Form und die samtige Haptik der matten Oberfläche verleihen ihm einen weichen, harmoni</w:t>
      </w:r>
      <w:r>
        <w:rPr>
          <w:sz w:val="17"/>
          <w:szCs w:val="17"/>
        </w:rPr>
        <w:t>schen Charakter. Bild: TOTO</w:t>
      </w:r>
      <w:r>
        <w:rPr>
          <w:sz w:val="17"/>
          <w:szCs w:val="17"/>
        </w:rPr>
        <w:br/>
      </w:r>
    </w:p>
    <w:p w14:paraId="596E2579" w14:textId="77777777" w:rsidR="000C351D" w:rsidRDefault="004110ED">
      <w:pPr>
        <w:rPr>
          <w:sz w:val="17"/>
          <w:szCs w:val="17"/>
        </w:rPr>
      </w:pPr>
      <w:r>
        <w:rPr>
          <w:b/>
          <w:sz w:val="17"/>
          <w:szCs w:val="17"/>
        </w:rPr>
        <w:t>3</w:t>
      </w:r>
      <w:r>
        <w:rPr>
          <w:sz w:val="17"/>
          <w:szCs w:val="17"/>
        </w:rPr>
        <w:t xml:space="preserve"> Aus </w:t>
      </w:r>
      <w:proofErr w:type="spellStart"/>
      <w:r>
        <w:rPr>
          <w:sz w:val="17"/>
          <w:szCs w:val="17"/>
        </w:rPr>
        <w:t>Linearceram</w:t>
      </w:r>
      <w:proofErr w:type="spellEnd"/>
      <w:r>
        <w:rPr>
          <w:sz w:val="17"/>
          <w:szCs w:val="17"/>
        </w:rPr>
        <w:t xml:space="preserve"> gefertigt, ist die Keramik des Aufsatzwaschtisches TA besonders dünn, aber extrem robust. Der asymmetrische Waschtisch ist auch in Weiß mit der edlen Oberfläche matt verfügbar und verbindet modernes Design mit</w:t>
      </w:r>
      <w:r>
        <w:rPr>
          <w:sz w:val="17"/>
          <w:szCs w:val="17"/>
        </w:rPr>
        <w:t xml:space="preserve"> hoher Funktionalität. Die geschwungene Form und die matte Oberfläche geben ihm eine sanfte Ästhetik. Bild: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0C351D" w14:paraId="6695F790" w14:textId="77777777">
        <w:tc>
          <w:tcPr>
            <w:tcW w:w="2444" w:type="pct"/>
            <w:tcBorders>
              <w:top w:val="nil"/>
              <w:left w:val="nil"/>
              <w:bottom w:val="nil"/>
              <w:right w:val="nil"/>
            </w:tcBorders>
            <w:shd w:val="clear" w:color="auto" w:fill="auto"/>
            <w:tcMar>
              <w:top w:w="0" w:type="dxa"/>
              <w:left w:w="0" w:type="dxa"/>
              <w:bottom w:w="0" w:type="dxa"/>
              <w:right w:w="0" w:type="dxa"/>
            </w:tcMar>
          </w:tcPr>
          <w:p w14:paraId="71A07722" w14:textId="77777777" w:rsidR="000C351D" w:rsidRDefault="004110ED">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4074DEF" w14:textId="77777777" w:rsidR="000C351D" w:rsidRDefault="000C351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745A9F6" w14:textId="77777777" w:rsidR="000C351D" w:rsidRDefault="004110ED">
            <w:pPr>
              <w:keepNext/>
              <w:keepLines/>
              <w:rPr>
                <w:sz w:val="14"/>
                <w:szCs w:val="14"/>
              </w:rPr>
            </w:pPr>
            <w:r>
              <w:rPr>
                <w:sz w:val="14"/>
                <w:szCs w:val="14"/>
              </w:rPr>
              <w:t>2.</w:t>
            </w:r>
          </w:p>
        </w:tc>
      </w:tr>
      <w:tr w:rsidR="000C351D" w14:paraId="361F458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2474E2B" w14:textId="77777777" w:rsidR="000C351D" w:rsidRDefault="004110ED">
            <w:pPr>
              <w:keepNext/>
              <w:keepLines/>
              <w:rPr>
                <w:sz w:val="14"/>
                <w:szCs w:val="14"/>
              </w:rPr>
            </w:pPr>
            <w:r>
              <w:rPr>
                <w:noProof/>
                <w:sz w:val="14"/>
                <w:szCs w:val="14"/>
              </w:rPr>
              <w:drawing>
                <wp:inline distT="0" distB="0" distL="0" distR="0" wp14:anchorId="64C04858" wp14:editId="3FA44D02">
                  <wp:extent cx="3023235" cy="14960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149606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48E8EF4" w14:textId="77777777" w:rsidR="000C351D" w:rsidRDefault="000C351D">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C0EFD7C" w14:textId="77777777" w:rsidR="000C351D" w:rsidRDefault="004110ED">
            <w:pPr>
              <w:keepNext/>
              <w:keepLines/>
              <w:rPr>
                <w:sz w:val="14"/>
                <w:szCs w:val="14"/>
              </w:rPr>
            </w:pPr>
            <w:r>
              <w:rPr>
                <w:noProof/>
                <w:sz w:val="14"/>
                <w:szCs w:val="14"/>
              </w:rPr>
              <w:drawing>
                <wp:inline distT="0" distB="0" distL="0" distR="0" wp14:anchorId="1D2B14EE" wp14:editId="18CEA1B7">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014220" cy="2014220"/>
                          </a:xfrm>
                          <a:prstGeom prst="rect">
                            <a:avLst/>
                          </a:prstGeom>
                        </pic:spPr>
                      </pic:pic>
                    </a:graphicData>
                  </a:graphic>
                </wp:inline>
              </w:drawing>
            </w:r>
          </w:p>
        </w:tc>
      </w:tr>
      <w:tr w:rsidR="000C351D" w14:paraId="4A3946B1" w14:textId="77777777">
        <w:tc>
          <w:tcPr>
            <w:tcW w:w="2444" w:type="pct"/>
            <w:tcBorders>
              <w:top w:val="nil"/>
              <w:left w:val="nil"/>
              <w:bottom w:val="nil"/>
              <w:right w:val="nil"/>
            </w:tcBorders>
            <w:shd w:val="clear" w:color="auto" w:fill="auto"/>
            <w:tcMar>
              <w:top w:w="0" w:type="dxa"/>
              <w:left w:w="0" w:type="dxa"/>
              <w:bottom w:w="0" w:type="dxa"/>
              <w:right w:w="0" w:type="dxa"/>
            </w:tcMar>
          </w:tcPr>
          <w:p w14:paraId="68BB30D2" w14:textId="77777777" w:rsidR="000C351D" w:rsidRDefault="000C351D">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704CCDE4" w14:textId="77777777" w:rsidR="000C351D" w:rsidRDefault="000C351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D83895B" w14:textId="77777777" w:rsidR="000C351D" w:rsidRDefault="000C351D">
            <w:pPr>
              <w:keepNext/>
              <w:keepLines/>
              <w:rPr>
                <w:sz w:val="14"/>
                <w:szCs w:val="14"/>
              </w:rPr>
            </w:pPr>
          </w:p>
        </w:tc>
      </w:tr>
      <w:tr w:rsidR="000C351D" w14:paraId="2A8C7D17" w14:textId="77777777">
        <w:tc>
          <w:tcPr>
            <w:tcW w:w="2444" w:type="pct"/>
            <w:tcBorders>
              <w:top w:val="nil"/>
              <w:left w:val="nil"/>
              <w:bottom w:val="nil"/>
              <w:right w:val="nil"/>
            </w:tcBorders>
            <w:shd w:val="clear" w:color="auto" w:fill="auto"/>
            <w:tcMar>
              <w:top w:w="0" w:type="dxa"/>
              <w:left w:w="0" w:type="dxa"/>
              <w:bottom w:w="0" w:type="dxa"/>
              <w:right w:w="0" w:type="dxa"/>
            </w:tcMar>
          </w:tcPr>
          <w:p w14:paraId="1259DDF4" w14:textId="77777777" w:rsidR="000C351D" w:rsidRDefault="004110ED">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CA49177" w14:textId="77777777" w:rsidR="000C351D" w:rsidRDefault="000C351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06D4211" w14:textId="77777777" w:rsidR="000C351D" w:rsidRDefault="000C351D">
            <w:pPr>
              <w:keepNext/>
              <w:keepLines/>
              <w:rPr>
                <w:sz w:val="14"/>
                <w:szCs w:val="14"/>
              </w:rPr>
            </w:pPr>
          </w:p>
        </w:tc>
      </w:tr>
      <w:tr w:rsidR="000C351D" w14:paraId="4923095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AA79905" w14:textId="77777777" w:rsidR="000C351D" w:rsidRDefault="004110ED">
            <w:pPr>
              <w:keepNext/>
              <w:keepLines/>
              <w:rPr>
                <w:sz w:val="14"/>
                <w:szCs w:val="14"/>
              </w:rPr>
            </w:pPr>
            <w:r>
              <w:rPr>
                <w:noProof/>
                <w:sz w:val="14"/>
                <w:szCs w:val="14"/>
              </w:rPr>
              <w:drawing>
                <wp:inline distT="0" distB="0" distL="0" distR="0" wp14:anchorId="4A1EA63F" wp14:editId="14DCA4A4">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AA64177" w14:textId="77777777" w:rsidR="000C351D" w:rsidRDefault="000C351D">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172A343F" w14:textId="77777777" w:rsidR="000C351D" w:rsidRDefault="000C351D">
            <w:pPr>
              <w:keepNext/>
              <w:keepLines/>
              <w:rPr>
                <w:sz w:val="17"/>
                <w:szCs w:val="17"/>
              </w:rPr>
            </w:pPr>
          </w:p>
        </w:tc>
      </w:tr>
    </w:tbl>
    <w:p w14:paraId="602A07C6" w14:textId="77777777" w:rsidR="000C351D" w:rsidRDefault="004110ED">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0C351D" w14:paraId="0CB0580A"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47792779" w14:textId="77777777" w:rsidR="000C351D" w:rsidRDefault="004110ED">
            <w:pPr>
              <w:spacing w:before="240" w:after="240"/>
              <w:rPr>
                <w:sz w:val="20"/>
                <w:szCs w:val="20"/>
              </w:rPr>
            </w:pPr>
            <w:r>
              <w:rPr>
                <w:b/>
                <w:sz w:val="20"/>
                <w:szCs w:val="20"/>
              </w:rPr>
              <w:lastRenderedPageBreak/>
              <w:t>Über TOTO Europe</w:t>
            </w:r>
          </w:p>
          <w:p w14:paraId="0DEC200E" w14:textId="77777777" w:rsidR="000C351D" w:rsidRDefault="004110ED">
            <w:pPr>
              <w:spacing w:before="240" w:after="240"/>
              <w:rPr>
                <w:sz w:val="20"/>
                <w:szCs w:val="20"/>
              </w:rPr>
            </w:pPr>
            <w:r>
              <w:rPr>
                <w:sz w:val="20"/>
                <w:szCs w:val="20"/>
              </w:rPr>
              <w:t xml:space="preserve">Bei TOTO, einem der international führenden Sanitärunternehmen mit weltweit 36.000 Mitarbeitenden, steht der Mensch und sein Wohlbefinden im Mittelpunkt. Seit der Gründung 1917 in </w:t>
            </w:r>
            <w:proofErr w:type="spellStart"/>
            <w:r>
              <w:rPr>
                <w:sz w:val="20"/>
                <w:szCs w:val="20"/>
              </w:rPr>
              <w:t>Kitakyushu</w:t>
            </w:r>
            <w:proofErr w:type="spellEnd"/>
            <w:r>
              <w:rPr>
                <w:sz w:val="20"/>
                <w:szCs w:val="20"/>
              </w:rPr>
              <w:t>, Japan, entwickelt, produziert und vertreibt TOTO ganzheitliche B</w:t>
            </w:r>
            <w:r>
              <w:rPr>
                <w:sz w:val="20"/>
                <w:szCs w:val="20"/>
              </w:rPr>
              <w:t>adezimmerkonzepte für gehobene Ansprüche – seit 2009 auch in Europa. Das Ziel des Unternehmens ist es, durch Regeneration, Komfort und Hygiene ein neues Lebensgefühl zu schaffen. Einfach in der Handhabung ist die Technik selbst nahezu unsichtbar in das Des</w:t>
            </w:r>
            <w:r>
              <w:rPr>
                <w:sz w:val="20"/>
                <w:szCs w:val="20"/>
              </w:rPr>
              <w:t>ign integriert. Als Japans führender Komplettbadanbieter präsentiert TOTO innovative Sanitärkeramik, Armaturen und Accessoires und blickt auf über 40 Jahre Erfahrung in der Entwicklung und Herstellung verschiedener WASHLET-Modelle zurück. Weltweit wurden b</w:t>
            </w:r>
            <w:r>
              <w:rPr>
                <w:sz w:val="20"/>
                <w:szCs w:val="20"/>
              </w:rPr>
              <w:t xml:space="preserve">isher über 60 Millionen Stück davon verkauft. </w:t>
            </w:r>
            <w:r>
              <w:rPr>
                <w:sz w:val="20"/>
                <w:szCs w:val="20"/>
              </w:rPr>
              <w:br/>
              <w:t>TOTO engagiert sich nicht nur intensiv für das menschliche Wohlbefinden, sondern auch für das unseres Planeten. Auf dem Weg zu einem emissionsfreien Unternehmen hat sich TOTO der RE100-Initiative angeschlossen</w:t>
            </w:r>
            <w:r>
              <w:rPr>
                <w:sz w:val="20"/>
                <w:szCs w:val="20"/>
              </w:rPr>
              <w:t xml:space="preserve"> und verfolgt das Ziel, bis 2050 an allen Standorten CO</w:t>
            </w:r>
            <w:r>
              <w:rPr>
                <w:sz w:val="20"/>
                <w:szCs w:val="20"/>
                <w:vertAlign w:val="subscript"/>
              </w:rPr>
              <w:t>2</w:t>
            </w:r>
            <w:r>
              <w:rPr>
                <w:sz w:val="20"/>
                <w:szCs w:val="20"/>
              </w:rPr>
              <w:t xml:space="preserve">-neutral zu werden, vor allem durch die konsequente Nutzung erneuerbarer Energien. Im Einklang mit den Zielen des Pariser Klimaabkommens erhielt TOTO 2021 die Zertifizierung der </w:t>
            </w:r>
            <w:hyperlink r:id="rId11">
              <w:r>
                <w:rPr>
                  <w:rStyle w:val="Hyperlink"/>
                  <w:color w:val="000000"/>
                  <w:sz w:val="20"/>
                  <w:szCs w:val="20"/>
                </w:rPr>
                <w:t xml:space="preserve">Science </w:t>
              </w:r>
              <w:proofErr w:type="spellStart"/>
              <w:r>
                <w:rPr>
                  <w:rStyle w:val="Hyperlink"/>
                  <w:color w:val="000000"/>
                  <w:sz w:val="20"/>
                  <w:szCs w:val="20"/>
                </w:rPr>
                <w:t>Based</w:t>
              </w:r>
              <w:proofErr w:type="spellEnd"/>
              <w:r>
                <w:rPr>
                  <w:rStyle w:val="Hyperlink"/>
                  <w:color w:val="000000"/>
                  <w:sz w:val="20"/>
                  <w:szCs w:val="20"/>
                </w:rPr>
                <w:t xml:space="preserve"> Targets</w:t>
              </w:r>
            </w:hyperlink>
            <w:r>
              <w:rPr>
                <w:sz w:val="20"/>
                <w:szCs w:val="20"/>
              </w:rPr>
              <w:t xml:space="preserve"> Initiative (</w:t>
            </w:r>
            <w:proofErr w:type="spellStart"/>
            <w:r>
              <w:rPr>
                <w:sz w:val="20"/>
                <w:szCs w:val="20"/>
              </w:rPr>
              <w:t>SBTi</w:t>
            </w:r>
            <w:proofErr w:type="spellEnd"/>
            <w:r>
              <w:rPr>
                <w:sz w:val="20"/>
                <w:szCs w:val="20"/>
              </w:rPr>
              <w:t>). Darüber hinaus trägt das Unternehmen mit dem Vertrieb und der Entwicklung wassersparender Produkte tagtäglich aktiv zur Ressourcenschonung bei. Bis 2030 soll</w:t>
            </w:r>
            <w:r>
              <w:rPr>
                <w:sz w:val="20"/>
                <w:szCs w:val="20"/>
              </w:rPr>
              <w:t xml:space="preserve"> der Anteil nachhaltiger Produkte im Portfolio zudem auf 83 % steigen, während der Wasserverbrauch durch innovative Technologien erheblich gesenkt wird. Mit diesen Maßnahmen strebt TOTO bis 2050 die vollständige Klimaneutralität an – nachzulesen im </w:t>
            </w:r>
            <w:hyperlink r:id="rId12">
              <w:r>
                <w:rPr>
                  <w:rStyle w:val="Hyperlink"/>
                  <w:color w:val="000000"/>
                  <w:sz w:val="20"/>
                  <w:szCs w:val="20"/>
                </w:rPr>
                <w:t>Integrated Report 2024</w:t>
              </w:r>
            </w:hyperlink>
            <w:r>
              <w:rPr>
                <w:sz w:val="20"/>
                <w:szCs w:val="20"/>
              </w:rPr>
              <w:t>.</w:t>
            </w:r>
          </w:p>
          <w:p w14:paraId="36967D6C" w14:textId="77777777" w:rsidR="000C351D" w:rsidRDefault="004110ED">
            <w:pPr>
              <w:spacing w:before="240" w:after="240"/>
              <w:rPr>
                <w:sz w:val="20"/>
                <w:szCs w:val="20"/>
              </w:rPr>
            </w:pPr>
            <w:r>
              <w:rPr>
                <w:sz w:val="20"/>
                <w:szCs w:val="20"/>
              </w:rPr>
              <w:t xml:space="preserve">Mehr über TOTO: </w:t>
            </w:r>
            <w:hyperlink r:id="rId13">
              <w:r>
                <w:rPr>
                  <w:rStyle w:val="Hyperlink"/>
                  <w:color w:val="000000"/>
                  <w:sz w:val="20"/>
                  <w:szCs w:val="20"/>
                </w:rPr>
                <w:t>eu.toto.com</w:t>
              </w:r>
            </w:hyperlink>
          </w:p>
          <w:p w14:paraId="465664E3" w14:textId="77777777" w:rsidR="000C351D" w:rsidRDefault="004110ED">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14:paraId="7B692B55" w14:textId="77777777" w:rsidR="000C351D" w:rsidRDefault="004110ED">
            <w:pPr>
              <w:rPr>
                <w:sz w:val="20"/>
                <w:szCs w:val="20"/>
              </w:rPr>
            </w:pPr>
            <w:r>
              <w:rPr>
                <w:sz w:val="20"/>
                <w:szCs w:val="20"/>
              </w:rPr>
              <w:br/>
            </w:r>
          </w:p>
        </w:tc>
      </w:tr>
      <w:tr w:rsidR="000C351D" w14:paraId="7B0BEEF3"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642E2A5B" w14:textId="77777777" w:rsidR="000C351D" w:rsidRDefault="000C351D">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5A1BE423" w14:textId="77777777" w:rsidR="000C351D" w:rsidRDefault="000C351D">
            <w:pPr>
              <w:rPr>
                <w:sz w:val="20"/>
                <w:szCs w:val="20"/>
              </w:rPr>
            </w:pPr>
          </w:p>
        </w:tc>
      </w:tr>
    </w:tbl>
    <w:p w14:paraId="13DAD11F" w14:textId="77777777" w:rsidR="000C351D" w:rsidRDefault="004110ED">
      <w:r>
        <w:br/>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0C351D" w14:paraId="3AA55038"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4C955B04" w14:textId="77777777" w:rsidR="000C351D" w:rsidRDefault="004110ED">
            <w:pPr>
              <w:rPr>
                <w:sz w:val="20"/>
                <w:szCs w:val="20"/>
              </w:rPr>
            </w:pPr>
            <w:r>
              <w:rPr>
                <w:b/>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14:paraId="18D1909B" w14:textId="77777777" w:rsidR="000C351D" w:rsidRDefault="004110ED">
            <w:pPr>
              <w:rPr>
                <w:sz w:val="20"/>
                <w:szCs w:val="20"/>
              </w:rPr>
            </w:pPr>
            <w:r>
              <w:rPr>
                <w:sz w:val="20"/>
                <w:szCs w:val="20"/>
              </w:rPr>
              <w:br/>
            </w:r>
          </w:p>
        </w:tc>
      </w:tr>
      <w:tr w:rsidR="000C351D" w14:paraId="17AC8A7C"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730339E0" w14:textId="77777777" w:rsidR="000C351D" w:rsidRDefault="000C351D">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5DD035CB" w14:textId="77777777" w:rsidR="000C351D" w:rsidRDefault="000C351D">
            <w:pPr>
              <w:rPr>
                <w:sz w:val="20"/>
                <w:szCs w:val="20"/>
              </w:rPr>
            </w:pPr>
          </w:p>
        </w:tc>
      </w:tr>
    </w:tbl>
    <w:p w14:paraId="51497370" w14:textId="77777777" w:rsidR="000C351D" w:rsidRDefault="004110ED">
      <w:r>
        <w:rPr>
          <w:noProof/>
          <w:sz w:val="18"/>
          <w:szCs w:val="18"/>
        </w:rPr>
        <w:drawing>
          <wp:inline distT="0" distB="0" distL="0" distR="0" wp14:anchorId="6FA4F4AD" wp14:editId="264B8D88">
            <wp:extent cx="1800860" cy="18008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0C351D">
      <w:headerReference w:type="default" r:id="rId15"/>
      <w:footerReference w:type="default" r:id="rId16"/>
      <w:headerReference w:type="first" r:id="rId17"/>
      <w:footerReference w:type="first" r:id="rId18"/>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9614E" w14:textId="77777777" w:rsidR="00000000" w:rsidRDefault="004110ED">
      <w:pPr>
        <w:spacing w:line="240" w:lineRule="auto"/>
      </w:pPr>
      <w:r>
        <w:separator/>
      </w:r>
    </w:p>
  </w:endnote>
  <w:endnote w:type="continuationSeparator" w:id="0">
    <w:p w14:paraId="26D1A74A" w14:textId="77777777" w:rsidR="00000000" w:rsidRDefault="004110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0C351D" w14:paraId="50AAD750"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0C351D" w14:paraId="0381A531" w14:textId="77777777">
            <w:trPr>
              <w:tblCellSpacing w:w="0" w:type="dxa"/>
            </w:trPr>
            <w:tc>
              <w:tcPr>
                <w:tcW w:w="15" w:type="dxa"/>
                <w:tcBorders>
                  <w:left w:val="single" w:sz="6" w:space="0" w:color="000000"/>
                </w:tcBorders>
                <w:shd w:val="clear" w:color="auto" w:fill="FFFFFF"/>
                <w:vAlign w:val="center"/>
                <w:hideMark/>
              </w:tcPr>
              <w:p w14:paraId="3285F03E" w14:textId="77777777" w:rsidR="000C351D" w:rsidRDefault="004110E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575E4992" w14:textId="77777777" w:rsidR="000C351D" w:rsidRDefault="004110ED">
                <w:pPr>
                  <w:rPr>
                    <w:sz w:val="10"/>
                    <w:szCs w:val="10"/>
                  </w:rPr>
                </w:pPr>
                <w:r>
                  <w:rPr>
                    <w:sz w:val="10"/>
                    <w:szCs w:val="10"/>
                  </w:rPr>
                  <w:t> </w:t>
                </w:r>
              </w:p>
            </w:tc>
            <w:tc>
              <w:tcPr>
                <w:tcW w:w="850" w:type="pct"/>
                <w:vAlign w:val="center"/>
                <w:hideMark/>
              </w:tcPr>
              <w:p w14:paraId="57395814" w14:textId="77777777" w:rsidR="000C351D" w:rsidRDefault="004110ED">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4DF4E2A3" w14:textId="77777777" w:rsidR="000C351D" w:rsidRDefault="004110E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6A76C38" w14:textId="77777777" w:rsidR="000C351D" w:rsidRDefault="004110ED">
                <w:pPr>
                  <w:rPr>
                    <w:sz w:val="10"/>
                    <w:szCs w:val="10"/>
                  </w:rPr>
                </w:pPr>
                <w:r>
                  <w:rPr>
                    <w:sz w:val="10"/>
                    <w:szCs w:val="10"/>
                  </w:rPr>
                  <w:t> </w:t>
                </w:r>
              </w:p>
            </w:tc>
            <w:tc>
              <w:tcPr>
                <w:tcW w:w="850" w:type="pct"/>
                <w:vAlign w:val="center"/>
                <w:hideMark/>
              </w:tcPr>
              <w:p w14:paraId="1FEF747E" w14:textId="77777777" w:rsidR="000C351D" w:rsidRDefault="004110ED">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4054B893" w14:textId="77777777" w:rsidR="000C351D" w:rsidRDefault="004110E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0D39BF17" w14:textId="77777777" w:rsidR="000C351D" w:rsidRDefault="004110ED">
                <w:pPr>
                  <w:rPr>
                    <w:sz w:val="10"/>
                    <w:szCs w:val="10"/>
                  </w:rPr>
                </w:pPr>
                <w:r>
                  <w:rPr>
                    <w:sz w:val="10"/>
                    <w:szCs w:val="10"/>
                  </w:rPr>
                  <w:t> </w:t>
                </w:r>
              </w:p>
            </w:tc>
            <w:tc>
              <w:tcPr>
                <w:tcW w:w="1150" w:type="pct"/>
                <w:vAlign w:val="center"/>
                <w:hideMark/>
              </w:tcPr>
              <w:p w14:paraId="7B64871B" w14:textId="77777777" w:rsidR="000C351D" w:rsidRDefault="004110ED">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 xml:space="preserve">IBAN: DE 32 36040039 </w:t>
                </w:r>
                <w:r>
                  <w:rPr>
                    <w:sz w:val="10"/>
                    <w:szCs w:val="10"/>
                  </w:rPr>
                  <w:t>0150621100</w:t>
                </w:r>
                <w:r>
                  <w:rPr>
                    <w:sz w:val="10"/>
                    <w:szCs w:val="10"/>
                  </w:rPr>
                  <w:br/>
                  <w:t>BIC: COBADEFF360</w:t>
                </w:r>
              </w:p>
            </w:tc>
            <w:tc>
              <w:tcPr>
                <w:tcW w:w="15" w:type="dxa"/>
                <w:tcBorders>
                  <w:left w:val="single" w:sz="6" w:space="0" w:color="000000"/>
                </w:tcBorders>
                <w:shd w:val="clear" w:color="auto" w:fill="FFFFFF"/>
                <w:vAlign w:val="center"/>
                <w:hideMark/>
              </w:tcPr>
              <w:p w14:paraId="5AA00806" w14:textId="77777777" w:rsidR="000C351D" w:rsidRDefault="004110E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860B9B4" w14:textId="77777777" w:rsidR="000C351D" w:rsidRDefault="004110ED">
                <w:pPr>
                  <w:rPr>
                    <w:sz w:val="10"/>
                    <w:szCs w:val="10"/>
                  </w:rPr>
                </w:pPr>
                <w:r>
                  <w:rPr>
                    <w:sz w:val="10"/>
                    <w:szCs w:val="10"/>
                  </w:rPr>
                  <w:t> </w:t>
                </w:r>
              </w:p>
            </w:tc>
            <w:tc>
              <w:tcPr>
                <w:tcW w:w="1050" w:type="pct"/>
                <w:vAlign w:val="center"/>
                <w:hideMark/>
              </w:tcPr>
              <w:p w14:paraId="41C0FAF8" w14:textId="77777777" w:rsidR="000C351D" w:rsidRDefault="004110ED">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 xml:space="preserve">Managing </w:t>
                </w:r>
                <w:proofErr w:type="spellStart"/>
                <w:r>
                  <w:rPr>
                    <w:sz w:val="10"/>
                    <w:szCs w:val="10"/>
                  </w:rPr>
                  <w:t>Directors</w:t>
                </w:r>
                <w:proofErr w:type="spellEnd"/>
                <w:r>
                  <w:rPr>
                    <w:sz w:val="10"/>
                    <w:szCs w:val="10"/>
                  </w:rPr>
                  <w:t>:</w:t>
                </w:r>
                <w:r>
                  <w:rPr>
                    <w:sz w:val="10"/>
                    <w:szCs w:val="10"/>
                  </w:rPr>
                  <w:br/>
                </w:r>
                <w:proofErr w:type="spellStart"/>
                <w:r>
                  <w:rPr>
                    <w:sz w:val="10"/>
                    <w:szCs w:val="10"/>
                  </w:rPr>
                  <w:t>Shinya</w:t>
                </w:r>
                <w:proofErr w:type="spellEnd"/>
                <w:r>
                  <w:rPr>
                    <w:sz w:val="10"/>
                    <w:szCs w:val="10"/>
                  </w:rPr>
                  <w:t xml:space="preserve"> </w:t>
                </w:r>
                <w:proofErr w:type="spellStart"/>
                <w:r>
                  <w:rPr>
                    <w:sz w:val="10"/>
                    <w:szCs w:val="10"/>
                  </w:rPr>
                  <w:t>Tamura</w:t>
                </w:r>
                <w:proofErr w:type="spellEnd"/>
                <w:r>
                  <w:rPr>
                    <w:sz w:val="10"/>
                    <w:szCs w:val="10"/>
                  </w:rPr>
                  <w:t xml:space="preserve">, </w:t>
                </w:r>
                <w:proofErr w:type="spellStart"/>
                <w:r>
                  <w:rPr>
                    <w:sz w:val="10"/>
                    <w:szCs w:val="10"/>
                  </w:rPr>
                  <w:t>Tatsuhiko</w:t>
                </w:r>
                <w:proofErr w:type="spellEnd"/>
                <w:r>
                  <w:rPr>
                    <w:sz w:val="10"/>
                    <w:szCs w:val="10"/>
                  </w:rPr>
                  <w:t xml:space="preserve"> </w:t>
                </w:r>
                <w:proofErr w:type="spellStart"/>
                <w:r>
                  <w:rPr>
                    <w:sz w:val="10"/>
                    <w:szCs w:val="10"/>
                  </w:rPr>
                  <w:t>Yasaka</w:t>
                </w:r>
                <w:proofErr w:type="spellEnd"/>
                <w:r>
                  <w:rPr>
                    <w:sz w:val="10"/>
                    <w:szCs w:val="10"/>
                  </w:rPr>
                  <w:br/>
                  <w:t>  </w:t>
                </w:r>
              </w:p>
            </w:tc>
            <w:tc>
              <w:tcPr>
                <w:tcW w:w="15" w:type="dxa"/>
                <w:tcBorders>
                  <w:left w:val="single" w:sz="6" w:space="0" w:color="000000"/>
                </w:tcBorders>
                <w:shd w:val="clear" w:color="auto" w:fill="FFFFFF"/>
                <w:vAlign w:val="center"/>
                <w:hideMark/>
              </w:tcPr>
              <w:p w14:paraId="2368C800" w14:textId="77777777" w:rsidR="000C351D" w:rsidRDefault="004110E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05CD5B8E" w14:textId="77777777" w:rsidR="000C351D" w:rsidRDefault="004110ED">
                <w:pPr>
                  <w:rPr>
                    <w:sz w:val="10"/>
                    <w:szCs w:val="10"/>
                  </w:rPr>
                </w:pPr>
                <w:r>
                  <w:rPr>
                    <w:sz w:val="10"/>
                    <w:szCs w:val="10"/>
                  </w:rPr>
                  <w:t> </w:t>
                </w:r>
              </w:p>
            </w:tc>
            <w:tc>
              <w:tcPr>
                <w:tcW w:w="850" w:type="pct"/>
                <w:vAlign w:val="center"/>
                <w:hideMark/>
              </w:tcPr>
              <w:p w14:paraId="323E08DD" w14:textId="77777777" w:rsidR="000C351D" w:rsidRDefault="004110ED">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14:paraId="10E6DB8F" w14:textId="77777777" w:rsidR="000C351D" w:rsidRDefault="004110ED">
                <w:pPr>
                  <w:rPr>
                    <w:sz w:val="10"/>
                    <w:szCs w:val="10"/>
                  </w:rPr>
                </w:pPr>
                <w:r>
                  <w:rPr>
                    <w:sz w:val="10"/>
                    <w:szCs w:val="10"/>
                  </w:rPr>
                  <w:t> </w:t>
                </w:r>
              </w:p>
            </w:tc>
          </w:tr>
        </w:tbl>
        <w:p w14:paraId="1FAAEAAC" w14:textId="77777777" w:rsidR="000C351D" w:rsidRDefault="000C351D">
          <w:pPr>
            <w:rPr>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AF97FDA" w14:textId="77777777" w:rsidR="000C351D" w:rsidRDefault="004110ED">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14:paraId="4513017D" w14:textId="77777777" w:rsidR="000C351D" w:rsidRDefault="000C351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0C351D" w14:paraId="5AE1AC2D"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0C351D" w14:paraId="721788F9" w14:textId="77777777">
            <w:trPr>
              <w:tblCellSpacing w:w="0" w:type="dxa"/>
            </w:trPr>
            <w:tc>
              <w:tcPr>
                <w:tcW w:w="15" w:type="dxa"/>
                <w:tcBorders>
                  <w:left w:val="single" w:sz="6" w:space="0" w:color="000000"/>
                </w:tcBorders>
                <w:shd w:val="clear" w:color="auto" w:fill="FFFFFF"/>
                <w:vAlign w:val="center"/>
                <w:hideMark/>
              </w:tcPr>
              <w:p w14:paraId="5F2EBA0A" w14:textId="77777777" w:rsidR="000C351D" w:rsidRDefault="004110E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EA3E867" w14:textId="77777777" w:rsidR="000C351D" w:rsidRDefault="004110ED">
                <w:pPr>
                  <w:rPr>
                    <w:sz w:val="10"/>
                    <w:szCs w:val="10"/>
                  </w:rPr>
                </w:pPr>
                <w:r>
                  <w:rPr>
                    <w:sz w:val="10"/>
                    <w:szCs w:val="10"/>
                  </w:rPr>
                  <w:t> </w:t>
                </w:r>
              </w:p>
            </w:tc>
            <w:tc>
              <w:tcPr>
                <w:tcW w:w="850" w:type="pct"/>
                <w:vAlign w:val="center"/>
                <w:hideMark/>
              </w:tcPr>
              <w:p w14:paraId="111777EF" w14:textId="77777777" w:rsidR="000C351D" w:rsidRDefault="004110ED">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4C60CE5C" w14:textId="77777777" w:rsidR="000C351D" w:rsidRDefault="004110E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8D984A7" w14:textId="77777777" w:rsidR="000C351D" w:rsidRDefault="004110ED">
                <w:pPr>
                  <w:rPr>
                    <w:sz w:val="10"/>
                    <w:szCs w:val="10"/>
                  </w:rPr>
                </w:pPr>
                <w:r>
                  <w:rPr>
                    <w:sz w:val="10"/>
                    <w:szCs w:val="10"/>
                  </w:rPr>
                  <w:t> </w:t>
                </w:r>
              </w:p>
            </w:tc>
            <w:tc>
              <w:tcPr>
                <w:tcW w:w="850" w:type="pct"/>
                <w:vAlign w:val="center"/>
                <w:hideMark/>
              </w:tcPr>
              <w:p w14:paraId="0BC2BD5C" w14:textId="77777777" w:rsidR="000C351D" w:rsidRDefault="004110ED">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48E718DC" w14:textId="77777777" w:rsidR="000C351D" w:rsidRDefault="004110E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4B190BA" w14:textId="77777777" w:rsidR="000C351D" w:rsidRDefault="004110ED">
                <w:pPr>
                  <w:rPr>
                    <w:sz w:val="10"/>
                    <w:szCs w:val="10"/>
                  </w:rPr>
                </w:pPr>
                <w:r>
                  <w:rPr>
                    <w:sz w:val="10"/>
                    <w:szCs w:val="10"/>
                  </w:rPr>
                  <w:t> </w:t>
                </w:r>
              </w:p>
            </w:tc>
            <w:tc>
              <w:tcPr>
                <w:tcW w:w="1150" w:type="pct"/>
                <w:vAlign w:val="center"/>
                <w:hideMark/>
              </w:tcPr>
              <w:p w14:paraId="0B0A237D" w14:textId="77777777" w:rsidR="000C351D" w:rsidRDefault="004110ED">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 xml:space="preserve">IBAN: DE 32 </w:t>
                </w:r>
                <w:r>
                  <w:rPr>
                    <w:sz w:val="10"/>
                    <w:szCs w:val="10"/>
                  </w:rPr>
                  <w:t>36040039 0150621100</w:t>
                </w:r>
                <w:r>
                  <w:rPr>
                    <w:sz w:val="10"/>
                    <w:szCs w:val="10"/>
                  </w:rPr>
                  <w:br/>
                  <w:t>BIC: COBADEFF360</w:t>
                </w:r>
              </w:p>
            </w:tc>
            <w:tc>
              <w:tcPr>
                <w:tcW w:w="15" w:type="dxa"/>
                <w:tcBorders>
                  <w:left w:val="single" w:sz="6" w:space="0" w:color="000000"/>
                </w:tcBorders>
                <w:shd w:val="clear" w:color="auto" w:fill="FFFFFF"/>
                <w:vAlign w:val="center"/>
                <w:hideMark/>
              </w:tcPr>
              <w:p w14:paraId="1F0025D0" w14:textId="77777777" w:rsidR="000C351D" w:rsidRDefault="004110E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3B76744" w14:textId="77777777" w:rsidR="000C351D" w:rsidRDefault="004110ED">
                <w:pPr>
                  <w:rPr>
                    <w:sz w:val="10"/>
                    <w:szCs w:val="10"/>
                  </w:rPr>
                </w:pPr>
                <w:r>
                  <w:rPr>
                    <w:sz w:val="10"/>
                    <w:szCs w:val="10"/>
                  </w:rPr>
                  <w:t> </w:t>
                </w:r>
              </w:p>
            </w:tc>
            <w:tc>
              <w:tcPr>
                <w:tcW w:w="1050" w:type="pct"/>
                <w:vAlign w:val="center"/>
                <w:hideMark/>
              </w:tcPr>
              <w:p w14:paraId="0E017938" w14:textId="77777777" w:rsidR="000C351D" w:rsidRDefault="004110ED">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 xml:space="preserve">Managing </w:t>
                </w:r>
                <w:proofErr w:type="spellStart"/>
                <w:r>
                  <w:rPr>
                    <w:sz w:val="10"/>
                    <w:szCs w:val="10"/>
                  </w:rPr>
                  <w:t>Directors</w:t>
                </w:r>
                <w:proofErr w:type="spellEnd"/>
                <w:r>
                  <w:rPr>
                    <w:sz w:val="10"/>
                    <w:szCs w:val="10"/>
                  </w:rPr>
                  <w:t>:</w:t>
                </w:r>
                <w:r>
                  <w:rPr>
                    <w:sz w:val="10"/>
                    <w:szCs w:val="10"/>
                  </w:rPr>
                  <w:br/>
                </w:r>
                <w:proofErr w:type="spellStart"/>
                <w:r>
                  <w:rPr>
                    <w:sz w:val="10"/>
                    <w:szCs w:val="10"/>
                  </w:rPr>
                  <w:t>Shinya</w:t>
                </w:r>
                <w:proofErr w:type="spellEnd"/>
                <w:r>
                  <w:rPr>
                    <w:sz w:val="10"/>
                    <w:szCs w:val="10"/>
                  </w:rPr>
                  <w:t xml:space="preserve"> </w:t>
                </w:r>
                <w:proofErr w:type="spellStart"/>
                <w:r>
                  <w:rPr>
                    <w:sz w:val="10"/>
                    <w:szCs w:val="10"/>
                  </w:rPr>
                  <w:t>Tamura</w:t>
                </w:r>
                <w:proofErr w:type="spellEnd"/>
                <w:r>
                  <w:rPr>
                    <w:sz w:val="10"/>
                    <w:szCs w:val="10"/>
                  </w:rPr>
                  <w:t xml:space="preserve">, </w:t>
                </w:r>
                <w:proofErr w:type="spellStart"/>
                <w:r>
                  <w:rPr>
                    <w:sz w:val="10"/>
                    <w:szCs w:val="10"/>
                  </w:rPr>
                  <w:t>Tatsuhiko</w:t>
                </w:r>
                <w:proofErr w:type="spellEnd"/>
                <w:r>
                  <w:rPr>
                    <w:sz w:val="10"/>
                    <w:szCs w:val="10"/>
                  </w:rPr>
                  <w:t xml:space="preserve"> </w:t>
                </w:r>
                <w:proofErr w:type="spellStart"/>
                <w:r>
                  <w:rPr>
                    <w:sz w:val="10"/>
                    <w:szCs w:val="10"/>
                  </w:rPr>
                  <w:t>Yasaka</w:t>
                </w:r>
                <w:proofErr w:type="spellEnd"/>
              </w:p>
            </w:tc>
            <w:tc>
              <w:tcPr>
                <w:tcW w:w="15" w:type="dxa"/>
                <w:tcBorders>
                  <w:left w:val="single" w:sz="6" w:space="0" w:color="000000"/>
                </w:tcBorders>
                <w:shd w:val="clear" w:color="auto" w:fill="FFFFFF"/>
                <w:vAlign w:val="center"/>
                <w:hideMark/>
              </w:tcPr>
              <w:p w14:paraId="699400D4" w14:textId="77777777" w:rsidR="000C351D" w:rsidRDefault="004110E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DF0BAA7" w14:textId="77777777" w:rsidR="000C351D" w:rsidRDefault="004110ED">
                <w:pPr>
                  <w:rPr>
                    <w:sz w:val="10"/>
                    <w:szCs w:val="10"/>
                  </w:rPr>
                </w:pPr>
                <w:r>
                  <w:rPr>
                    <w:sz w:val="10"/>
                    <w:szCs w:val="10"/>
                  </w:rPr>
                  <w:t> </w:t>
                </w:r>
              </w:p>
            </w:tc>
            <w:tc>
              <w:tcPr>
                <w:tcW w:w="850" w:type="pct"/>
                <w:vAlign w:val="center"/>
                <w:hideMark/>
              </w:tcPr>
              <w:p w14:paraId="47357940" w14:textId="77777777" w:rsidR="000C351D" w:rsidRDefault="004110ED">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14:paraId="69796B55" w14:textId="77777777" w:rsidR="000C351D" w:rsidRDefault="004110ED">
                <w:pPr>
                  <w:rPr>
                    <w:sz w:val="10"/>
                    <w:szCs w:val="10"/>
                  </w:rPr>
                </w:pPr>
                <w:r>
                  <w:rPr>
                    <w:sz w:val="10"/>
                    <w:szCs w:val="10"/>
                  </w:rPr>
                  <w:t> </w:t>
                </w:r>
              </w:p>
            </w:tc>
          </w:tr>
        </w:tbl>
        <w:p w14:paraId="0BEEA448" w14:textId="77777777" w:rsidR="000C351D" w:rsidRDefault="000C351D">
          <w:pPr>
            <w:rPr>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D212051" w14:textId="77777777" w:rsidR="000C351D" w:rsidRDefault="000C351D">
          <w:pPr>
            <w:rPr>
              <w:sz w:val="10"/>
              <w:szCs w:val="10"/>
            </w:rPr>
          </w:pPr>
        </w:p>
      </w:tc>
    </w:tr>
  </w:tbl>
  <w:p w14:paraId="1E9711A4" w14:textId="77777777" w:rsidR="000C351D" w:rsidRDefault="000C351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15779" w14:textId="77777777" w:rsidR="00000000" w:rsidRDefault="004110ED">
      <w:pPr>
        <w:spacing w:line="240" w:lineRule="auto"/>
      </w:pPr>
      <w:r>
        <w:separator/>
      </w:r>
    </w:p>
  </w:footnote>
  <w:footnote w:type="continuationSeparator" w:id="0">
    <w:p w14:paraId="2DAD7F53" w14:textId="77777777" w:rsidR="00000000" w:rsidRDefault="004110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9896" w14:textId="77777777" w:rsidR="000C351D" w:rsidRDefault="004110ED">
    <w:r>
      <w:rPr>
        <w:noProof/>
      </w:rPr>
      <w:drawing>
        <wp:anchor distT="0" distB="0" distL="114300" distR="114300" simplePos="0" relativeHeight="251659264" behindDoc="0" locked="0" layoutInCell="0" allowOverlap="0" wp14:anchorId="6A5379A4" wp14:editId="1F6E7F57">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0F81" w14:textId="77777777" w:rsidR="000C351D" w:rsidRDefault="004110ED">
    <w:pPr>
      <w:rPr>
        <w:color w:val="343434"/>
      </w:rPr>
    </w:pPr>
    <w:r>
      <w:rPr>
        <w:noProof/>
        <w:color w:val="343434"/>
      </w:rPr>
      <w:drawing>
        <wp:anchor distT="0" distB="0" distL="114300" distR="114300" simplePos="0" relativeHeight="251658240" behindDoc="0" locked="0" layoutInCell="0" allowOverlap="0" wp14:anchorId="6D18029F" wp14:editId="4D297BAE">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 xml:space="preserve">Press </w:t>
    </w:r>
    <w:r>
      <w:rPr>
        <w:rFonts w:eastAsia="Arial"/>
        <w:b/>
        <w:color w:val="343434"/>
        <w:sz w:val="24"/>
        <w:szCs w:val="24"/>
      </w:rPr>
      <w:t>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C351D"/>
    <w:rsid w:val="000C351D"/>
    <w:rsid w:val="004110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3515B"/>
  <w15:docId w15:val="{3943473E-42BA-4AE6-924D-1B92C45BC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eu.toto.com/de"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eu.toto.com/de" TargetMode="External"/><Relationship Id="rId12" Type="http://schemas.openxmlformats.org/officeDocument/2006/relationships/hyperlink" Target="https://jp.toto.com/assets/files/report2024_data_en.pdf"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sciencebasedtargets.org/about-us"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4223</Characters>
  <Application>Microsoft Office Word</Application>
  <DocSecurity>0</DocSecurity>
  <Lines>35</Lines>
  <Paragraphs>9</Paragraphs>
  <ScaleCrop>false</ScaleCrop>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2</cp:revision>
  <dcterms:created xsi:type="dcterms:W3CDTF">2025-01-27T13:47:00Z</dcterms:created>
  <dcterms:modified xsi:type="dcterms:W3CDTF">2025-01-27T13:51:00Z</dcterms:modified>
</cp:coreProperties>
</file>