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19F68A" w14:textId="77777777" w:rsidR="00107F10" w:rsidRDefault="00107F10">
      <w:pPr>
        <w:rPr>
          <w:b/>
          <w:bCs/>
          <w:sz w:val="32"/>
          <w:szCs w:val="32"/>
        </w:rPr>
      </w:pPr>
    </w:p>
    <w:p w14:paraId="1103790F" w14:textId="3D8A34D7" w:rsidR="00F25E62" w:rsidRDefault="00107F10">
      <w:pPr>
        <w:rPr>
          <w:b/>
          <w:bCs/>
          <w:sz w:val="32"/>
          <w:szCs w:val="32"/>
        </w:rPr>
      </w:pPr>
      <w:r>
        <w:rPr>
          <w:b/>
          <w:bCs/>
          <w:sz w:val="32"/>
          <w:szCs w:val="32"/>
        </w:rPr>
        <w:t>Eine Feier der einfachen Dinge</w:t>
      </w:r>
    </w:p>
    <w:tbl>
      <w:tblPr>
        <w:tblStyle w:val="TabelleEinfach1"/>
        <w:tblW w:w="5000" w:type="pct"/>
        <w:tblLayout w:type="fixed"/>
        <w:tblCellMar>
          <w:left w:w="0" w:type="dxa"/>
          <w:right w:w="227" w:type="dxa"/>
        </w:tblCellMar>
        <w:tblLook w:val="04A0" w:firstRow="1" w:lastRow="0" w:firstColumn="1" w:lastColumn="0" w:noHBand="0" w:noVBand="1"/>
      </w:tblPr>
      <w:tblGrid>
        <w:gridCol w:w="3706"/>
        <w:gridCol w:w="3706"/>
        <w:gridCol w:w="2340"/>
      </w:tblGrid>
      <w:tr w:rsidR="00F25E62" w14:paraId="63607183" w14:textId="77777777">
        <w:tc>
          <w:tcPr>
            <w:tcW w:w="3800" w:type="pct"/>
            <w:gridSpan w:val="2"/>
            <w:tcBorders>
              <w:top w:val="nil"/>
              <w:left w:val="nil"/>
              <w:bottom w:val="nil"/>
              <w:right w:val="nil"/>
            </w:tcBorders>
            <w:shd w:val="clear" w:color="auto" w:fill="auto"/>
            <w:tcMar>
              <w:top w:w="0" w:type="dxa"/>
              <w:left w:w="0" w:type="dxa"/>
              <w:bottom w:w="0" w:type="dxa"/>
              <w:right w:w="227" w:type="dxa"/>
            </w:tcMar>
          </w:tcPr>
          <w:p w14:paraId="4D47FABB" w14:textId="77777777" w:rsidR="00F25E62" w:rsidRDefault="00107F10">
            <w:r>
              <w:rPr>
                <w:rFonts w:eastAsia="Arial"/>
              </w:rPr>
              <w:t>TOTO, der führende japanische Sanitärhersteller, spielt im neuen Film „Perfect Days“ des renommierten Regisseurs Wim Wenders eine wichtige Statistenrolle. Kinostart in Deutschland ist am 21. Dezember 2023.</w:t>
            </w:r>
          </w:p>
        </w:tc>
        <w:tc>
          <w:tcPr>
            <w:tcW w:w="1200" w:type="pct"/>
            <w:tcBorders>
              <w:top w:val="nil"/>
              <w:left w:val="nil"/>
              <w:bottom w:val="nil"/>
              <w:right w:val="nil"/>
            </w:tcBorders>
            <w:shd w:val="clear" w:color="auto" w:fill="auto"/>
            <w:tcMar>
              <w:top w:w="0" w:type="dxa"/>
              <w:left w:w="0" w:type="dxa"/>
              <w:bottom w:w="0" w:type="dxa"/>
              <w:right w:w="227" w:type="dxa"/>
            </w:tcMar>
          </w:tcPr>
          <w:p w14:paraId="5D6AC04F" w14:textId="77777777" w:rsidR="00F25E62" w:rsidRDefault="00F25E62"/>
        </w:tc>
      </w:tr>
      <w:tr w:rsidR="00F25E62" w14:paraId="039950EF" w14:textId="77777777">
        <w:trPr>
          <w:gridAfter w:val="1"/>
          <w:wAfter w:w="1728" w:type="dxa"/>
        </w:trPr>
        <w:tc>
          <w:tcPr>
            <w:tcW w:w="2736" w:type="dxa"/>
            <w:tcBorders>
              <w:top w:val="nil"/>
              <w:left w:val="nil"/>
              <w:bottom w:val="nil"/>
              <w:right w:val="nil"/>
            </w:tcBorders>
            <w:shd w:val="clear" w:color="auto" w:fill="auto"/>
            <w:tcMar>
              <w:top w:w="0" w:type="dxa"/>
              <w:left w:w="0" w:type="dxa"/>
              <w:bottom w:w="0" w:type="dxa"/>
              <w:right w:w="227" w:type="dxa"/>
            </w:tcMar>
          </w:tcPr>
          <w:p w14:paraId="05EF8E21" w14:textId="77777777" w:rsidR="00F25E62" w:rsidRDefault="00F25E62"/>
        </w:tc>
        <w:tc>
          <w:tcPr>
            <w:tcW w:w="2736" w:type="dxa"/>
            <w:tcBorders>
              <w:top w:val="nil"/>
              <w:left w:val="nil"/>
              <w:bottom w:val="nil"/>
              <w:right w:val="nil"/>
            </w:tcBorders>
            <w:shd w:val="clear" w:color="auto" w:fill="auto"/>
            <w:tcMar>
              <w:top w:w="0" w:type="dxa"/>
              <w:left w:w="0" w:type="dxa"/>
              <w:bottom w:w="0" w:type="dxa"/>
              <w:right w:w="227" w:type="dxa"/>
            </w:tcMar>
          </w:tcPr>
          <w:p w14:paraId="522C2BCE" w14:textId="77777777" w:rsidR="00F25E62" w:rsidRDefault="00F25E62"/>
        </w:tc>
      </w:tr>
    </w:tbl>
    <w:p w14:paraId="2BC2A529" w14:textId="77777777" w:rsidR="00F25E62" w:rsidRDefault="00107F10">
      <w:pPr>
        <w:rPr>
          <w:sz w:val="8"/>
          <w:szCs w:val="8"/>
        </w:rPr>
      </w:pPr>
      <w:r>
        <w:rPr>
          <w:sz w:val="8"/>
          <w:szCs w:val="8"/>
        </w:rPr>
        <w:br/>
      </w:r>
    </w:p>
    <w:tbl>
      <w:tblPr>
        <w:tblStyle w:val="TabelleEinfach1"/>
        <w:tblW w:w="5000" w:type="pct"/>
        <w:jc w:val="center"/>
        <w:tblLayout w:type="fixed"/>
        <w:tblCellMar>
          <w:left w:w="0" w:type="dxa"/>
          <w:right w:w="227" w:type="dxa"/>
        </w:tblCellMar>
        <w:tblLook w:val="04A0" w:firstRow="1" w:lastRow="0" w:firstColumn="1" w:lastColumn="0" w:noHBand="0" w:noVBand="1"/>
      </w:tblPr>
      <w:tblGrid>
        <w:gridCol w:w="9752"/>
      </w:tblGrid>
      <w:tr w:rsidR="00F25E62" w14:paraId="6B6DE7BA" w14:textId="77777777">
        <w:trPr>
          <w:jc w:val="center"/>
        </w:trPr>
        <w:tc>
          <w:tcPr>
            <w:tcW w:w="5000" w:type="pct"/>
            <w:tcBorders>
              <w:top w:val="nil"/>
              <w:left w:val="nil"/>
              <w:bottom w:val="nil"/>
              <w:right w:val="nil"/>
            </w:tcBorders>
            <w:shd w:val="clear" w:color="auto" w:fill="auto"/>
            <w:tcMar>
              <w:top w:w="0" w:type="dxa"/>
              <w:left w:w="0" w:type="dxa"/>
              <w:bottom w:w="0" w:type="dxa"/>
              <w:right w:w="227" w:type="dxa"/>
            </w:tcMar>
          </w:tcPr>
          <w:p w14:paraId="6546E28B" w14:textId="77777777" w:rsidR="00F25E62" w:rsidRDefault="00107F10">
            <w:pPr>
              <w:rPr>
                <w:sz w:val="18"/>
                <w:szCs w:val="18"/>
              </w:rPr>
            </w:pPr>
            <w:r>
              <w:rPr>
                <w:noProof/>
                <w:sz w:val="18"/>
                <w:szCs w:val="18"/>
              </w:rPr>
              <w:drawing>
                <wp:inline distT="0" distB="0" distL="0" distR="0" wp14:anchorId="0F2A31B3" wp14:editId="60C15FA4">
                  <wp:extent cx="3995420" cy="266382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r:embed="rId7"/>
                          <a:srcRect/>
                          <a:stretch>
                            <a:fillRect/>
                          </a:stretch>
                        </pic:blipFill>
                        <pic:spPr>
                          <a:xfrm>
                            <a:off x="0" y="0"/>
                            <a:ext cx="3995420" cy="2663825"/>
                          </a:xfrm>
                          <a:prstGeom prst="rect">
                            <a:avLst/>
                          </a:prstGeom>
                        </pic:spPr>
                      </pic:pic>
                    </a:graphicData>
                  </a:graphic>
                </wp:inline>
              </w:drawing>
            </w:r>
          </w:p>
        </w:tc>
      </w:tr>
    </w:tbl>
    <w:p w14:paraId="725FC6B9" w14:textId="77777777" w:rsidR="00F25E62" w:rsidRDefault="00107F10">
      <w:pPr>
        <w:rPr>
          <w:sz w:val="8"/>
          <w:szCs w:val="8"/>
        </w:rPr>
      </w:pPr>
      <w:r>
        <w:rPr>
          <w:sz w:val="8"/>
          <w:szCs w:val="8"/>
        </w:rPr>
        <w:br/>
      </w:r>
    </w:p>
    <w:tbl>
      <w:tblPr>
        <w:tblStyle w:val="TabelleEinfach1"/>
        <w:tblW w:w="5000" w:type="pct"/>
        <w:tblLayout w:type="fixed"/>
        <w:tblCellMar>
          <w:left w:w="0" w:type="dxa"/>
          <w:right w:w="227" w:type="dxa"/>
        </w:tblCellMar>
        <w:tblLook w:val="04A0" w:firstRow="1" w:lastRow="0" w:firstColumn="1" w:lastColumn="0" w:noHBand="0" w:noVBand="1"/>
      </w:tblPr>
      <w:tblGrid>
        <w:gridCol w:w="7412"/>
        <w:gridCol w:w="2340"/>
      </w:tblGrid>
      <w:tr w:rsidR="00F25E62" w14:paraId="5177E9A6" w14:textId="77777777">
        <w:tc>
          <w:tcPr>
            <w:tcW w:w="3800" w:type="pct"/>
            <w:tcBorders>
              <w:top w:val="nil"/>
              <w:left w:val="nil"/>
              <w:bottom w:val="nil"/>
              <w:right w:val="nil"/>
            </w:tcBorders>
            <w:shd w:val="clear" w:color="auto" w:fill="auto"/>
            <w:tcMar>
              <w:top w:w="0" w:type="dxa"/>
              <w:left w:w="0" w:type="dxa"/>
              <w:bottom w:w="0" w:type="dxa"/>
              <w:right w:w="227" w:type="dxa"/>
            </w:tcMar>
          </w:tcPr>
          <w:p w14:paraId="5F57A6A9" w14:textId="77777777" w:rsidR="00F25E62" w:rsidRDefault="00107F10">
            <w:pPr>
              <w:spacing w:after="240"/>
              <w:rPr>
                <w:sz w:val="20"/>
                <w:szCs w:val="20"/>
              </w:rPr>
            </w:pPr>
            <w:r>
              <w:rPr>
                <w:i/>
                <w:sz w:val="20"/>
                <w:szCs w:val="20"/>
              </w:rPr>
              <w:t xml:space="preserve">Der </w:t>
            </w:r>
            <w:r>
              <w:rPr>
                <w:i/>
                <w:sz w:val="20"/>
                <w:szCs w:val="20"/>
              </w:rPr>
              <w:t xml:space="preserve">neue Film „Perfect Days“ von Wim Wenders erzählt mit ruhigen, reduzierten Bildern die Geschichte des Toilettenreinigers Hirayama, der in der japanischen Metropole Tokio ein einfaches Leben führt und in seinem Alltag immer derselben Struktur nachgeht. Hirayama – gespielt von Kōji Yakusho – reinigt dabei nicht irgendwelche öffentlichen Toiletten, sondern die des einzigartigen THE TOKYO TOILET Projects der Nippon Foundation. Gestaltet wurden diese von berühmten Architekten wie Toyo Ito, Kengo Kuma, Tadao Ando </w:t>
            </w:r>
            <w:r>
              <w:rPr>
                <w:i/>
                <w:sz w:val="20"/>
                <w:szCs w:val="20"/>
              </w:rPr>
              <w:t>oder Shigeru Ban. Ausgestattet sind alle innovativen Toilettenhäuser von THE TOKYO TOILET mit Sanitärprodukten von TOTO. Im Mai diesen Jahres wurde „Perfect Days“ beim Internationalen Filmfestival von Cannes uraufgeführt. Mit seiner beeindruckenden Performance wurde der Hauptdarsteller Yakusho in Cannes als bester Schauspieler ausgezeichnet. Im Dezember kommt der Film nun in die deutschen Kinos.</w:t>
            </w:r>
          </w:p>
          <w:p w14:paraId="40A17A2F" w14:textId="77777777" w:rsidR="00F25E62" w:rsidRDefault="00107F10">
            <w:pPr>
              <w:spacing w:after="240"/>
              <w:rPr>
                <w:sz w:val="20"/>
                <w:szCs w:val="20"/>
              </w:rPr>
            </w:pPr>
            <w:r>
              <w:rPr>
                <w:sz w:val="20"/>
                <w:szCs w:val="20"/>
              </w:rPr>
              <w:t>Hirayama fährt im Spielfilm die unterschiedlichen öffentlichen Toiletten im Stadtteil Shibuya der japanischen Metropole Tokio ab und reinigt diese. Dabei übt der Protagonist seine berufliche Tätigkeit voller Hingabe und Gründlichkeit aus. Wenn etwa ein Toilettenbesucher kommt, macht er sich quasi unsichtbar, um nicht zu stören. Hirayama ruht ganz in sich und erlebt mit seiner Tätigkeit aber auch mit den kleinen und simplen Dingen seines Lebens jeden Tag den für ihn perfekten Tag. Jeden Morgen ein Dosenkaffe</w:t>
            </w:r>
            <w:r>
              <w:rPr>
                <w:sz w:val="20"/>
                <w:szCs w:val="20"/>
              </w:rPr>
              <w:t xml:space="preserve">e, Musikkassetten mit Rocksongs aus den 1960ern und 1970ern bei der Fahrt zur Arbeit, Lesen und die Analogfotografie, mit der er Stimmungen einfängt, sind Dinge und Tätigkeiten, die er liebt und die seinen Alltag bereichern. Eine Reihe von unerwarteten Begegnungen enthüllt nach und nach mehr von seiner Vergangenheit. „Der neue Spielfilm von Wim Wenders ist eine Feier der einfachen Dinge, der Poesie in den alltäglichen Ritualen und der </w:t>
            </w:r>
            <w:r>
              <w:rPr>
                <w:sz w:val="20"/>
                <w:szCs w:val="20"/>
              </w:rPr>
              <w:lastRenderedPageBreak/>
              <w:t xml:space="preserve">leidenschaftlichen Hingabe“, schreibt das Online-Magazin kino-zeit.de in </w:t>
            </w:r>
            <w:r>
              <w:rPr>
                <w:sz w:val="20"/>
                <w:szCs w:val="20"/>
              </w:rPr>
              <w:t>seiner Kritik über „Perfect Days“.</w:t>
            </w:r>
          </w:p>
          <w:p w14:paraId="0DD94048" w14:textId="77777777" w:rsidR="00F25E62" w:rsidRDefault="00107F10">
            <w:pPr>
              <w:spacing w:after="240"/>
              <w:rPr>
                <w:sz w:val="20"/>
                <w:szCs w:val="20"/>
              </w:rPr>
            </w:pPr>
            <w:r>
              <w:rPr>
                <w:sz w:val="20"/>
                <w:szCs w:val="20"/>
              </w:rPr>
              <w:t>Und mit der gleichen Hingabe und mit großem Engagement hat die Nippon Foundation in den letzten Jahren die 17 öffentlichen Toiletten des THE TOKYO TOILET Projects umgesetzt, die Hirayama im Film reinigt. Auch in Japan werden öffentliche Sanitäranlagen oft nur mit Vorbehalt genutzt, obwohl der Standard ungleich höher und die sanitären Einrichtungen viel sauberer sind als in Deutschland. Im Fokus der 17 sehenswerten Toilettenhäuser stehen eine moderne, einladende Architektur und eine hygienische und inklusive</w:t>
            </w:r>
            <w:r>
              <w:rPr>
                <w:sz w:val="20"/>
                <w:szCs w:val="20"/>
              </w:rPr>
              <w:t xml:space="preserve"> Sanitärausstattung. Die Toiletten sollten sicher und sauber zu jeder Tages- und Nachtzeit sein und für jeden zugänglich, egal welches Geschlecht, welches Alter und mit welchen körperlichen Einschränkungen. Als Japans führender Hersteller von Sanitärkeramik nahm TOTO dabei eine Schlüsselrolle als Berater ein und gestaltete die Innenräume der Toiletten.</w:t>
            </w:r>
          </w:p>
          <w:p w14:paraId="6283D083" w14:textId="77777777" w:rsidR="00F25E62" w:rsidRDefault="00107F10">
            <w:pPr>
              <w:spacing w:after="240"/>
              <w:rPr>
                <w:sz w:val="20"/>
                <w:szCs w:val="20"/>
              </w:rPr>
            </w:pPr>
            <w:r>
              <w:rPr>
                <w:b/>
                <w:sz w:val="20"/>
                <w:szCs w:val="20"/>
              </w:rPr>
              <w:t>TOTO Produkte als Statisten im Film</w:t>
            </w:r>
          </w:p>
          <w:p w14:paraId="75E320EE" w14:textId="77777777" w:rsidR="00F25E62" w:rsidRDefault="00107F10">
            <w:pPr>
              <w:spacing w:after="240"/>
              <w:rPr>
                <w:sz w:val="20"/>
                <w:szCs w:val="20"/>
              </w:rPr>
            </w:pPr>
            <w:r>
              <w:rPr>
                <w:sz w:val="20"/>
                <w:szCs w:val="20"/>
              </w:rPr>
              <w:t>Ausgestattet sind die „stillen Örtchen“ der THE TOKYO TOILET Projects, die der Filmprotagonist Hirayama mit größter Hingabe säubert, mit vielfältigen TOTO Lösungen. Diese gelten als langlebig, inklusiv, sind leicht zu reinigen und erfüllen hohe Hygiene-Standards, auch bei öffentlichen Toiletten. Sie ermöglichen, dass sich die Gäste jederzeit willkommen fühlen. Auch das WASHLET, das Dusch-WC von TOTO, kommt bei den Toilettenhäusern zum Einsatz.</w:t>
            </w:r>
          </w:p>
          <w:p w14:paraId="25734785" w14:textId="77777777" w:rsidR="00F25E62" w:rsidRDefault="00107F10">
            <w:pPr>
              <w:spacing w:after="240"/>
              <w:rPr>
                <w:sz w:val="20"/>
                <w:szCs w:val="20"/>
              </w:rPr>
            </w:pPr>
            <w:r>
              <w:rPr>
                <w:b/>
                <w:sz w:val="20"/>
                <w:szCs w:val="20"/>
              </w:rPr>
              <w:t>Kinostart am 21. Dezember 2023</w:t>
            </w:r>
          </w:p>
          <w:p w14:paraId="528B72EF" w14:textId="77777777" w:rsidR="00F25E62" w:rsidRDefault="00107F10">
            <w:pPr>
              <w:spacing w:after="240"/>
              <w:rPr>
                <w:sz w:val="20"/>
                <w:szCs w:val="20"/>
              </w:rPr>
            </w:pPr>
            <w:r>
              <w:rPr>
                <w:sz w:val="20"/>
                <w:szCs w:val="20"/>
              </w:rPr>
              <w:t>Der Film „Perfect Days“ läuft in den deutschen Kinos am 21. Dezember 2023 an. Mit dem Film kehrt Wim Wenders nach fast vier Jahrzehnten nach Japan zurück, wo er 1985 „Tokyo-Ga“ drehte. Weltweite Bekanntheit erreichte der deutsche Regisseur mit Filmen wie „Paris, Texas“ oder „Der Himmel über Berlin“.</w:t>
            </w:r>
          </w:p>
          <w:p w14:paraId="4AC52ED0" w14:textId="77777777" w:rsidR="00F25E62" w:rsidRDefault="00107F10">
            <w:pPr>
              <w:spacing w:after="240"/>
              <w:rPr>
                <w:sz w:val="20"/>
                <w:szCs w:val="20"/>
              </w:rPr>
            </w:pPr>
            <w:r>
              <w:rPr>
                <w:sz w:val="20"/>
                <w:szCs w:val="20"/>
              </w:rPr>
              <w:t>„Perfect Days“ wird zudem von Japan für den Oscar eingereicht und geht damit im März 2024 in das Rennen für den besten ausländischen Film.</w:t>
            </w:r>
          </w:p>
          <w:p w14:paraId="09A1C24C" w14:textId="77777777" w:rsidR="00F25E62" w:rsidRDefault="00107F10">
            <w:pPr>
              <w:spacing w:after="240"/>
              <w:rPr>
                <w:sz w:val="20"/>
                <w:szCs w:val="20"/>
              </w:rPr>
            </w:pPr>
            <w:r>
              <w:rPr>
                <w:b/>
                <w:sz w:val="20"/>
                <w:szCs w:val="20"/>
              </w:rPr>
              <w:t>Hinweis für die Redaktionen</w:t>
            </w:r>
          </w:p>
          <w:p w14:paraId="1DA7A432" w14:textId="77777777" w:rsidR="00F25E62" w:rsidRDefault="00107F10">
            <w:pPr>
              <w:spacing w:after="240"/>
              <w:rPr>
                <w:sz w:val="20"/>
                <w:szCs w:val="20"/>
              </w:rPr>
            </w:pPr>
            <w:r>
              <w:rPr>
                <w:sz w:val="20"/>
                <w:szCs w:val="20"/>
              </w:rPr>
              <w:t>Weitere Informationen und Bildmaterial zu den THE TOKYO TOILET Projects finden Sie in unseren beiden Medieninformationen:</w:t>
            </w:r>
          </w:p>
          <w:p w14:paraId="4352C9B0" w14:textId="77777777" w:rsidR="00F25E62" w:rsidRDefault="00107F10">
            <w:pPr>
              <w:numPr>
                <w:ilvl w:val="0"/>
                <w:numId w:val="1"/>
              </w:numPr>
              <w:ind w:firstLine="0"/>
              <w:rPr>
                <w:sz w:val="20"/>
                <w:szCs w:val="20"/>
              </w:rPr>
            </w:pPr>
            <w:hyperlink r:id="rId8">
              <w:r>
                <w:rPr>
                  <w:rStyle w:val="Hyperlink"/>
                  <w:color w:val="000000"/>
                  <w:sz w:val="20"/>
                  <w:szCs w:val="20"/>
                </w:rPr>
                <w:t>Medieninformation von 2022</w:t>
              </w:r>
            </w:hyperlink>
          </w:p>
          <w:p w14:paraId="5A102F44" w14:textId="77777777" w:rsidR="00F25E62" w:rsidRDefault="00107F10">
            <w:pPr>
              <w:numPr>
                <w:ilvl w:val="0"/>
                <w:numId w:val="1"/>
              </w:numPr>
              <w:ind w:firstLine="0"/>
              <w:rPr>
                <w:sz w:val="20"/>
                <w:szCs w:val="20"/>
              </w:rPr>
            </w:pPr>
            <w:hyperlink r:id="rId9">
              <w:r>
                <w:rPr>
                  <w:rStyle w:val="Hyperlink"/>
                  <w:color w:val="000000"/>
                  <w:sz w:val="20"/>
                  <w:szCs w:val="20"/>
                </w:rPr>
                <w:t>Medieninformation von 2020</w:t>
              </w:r>
            </w:hyperlink>
          </w:p>
          <w:p w14:paraId="39F224BC" w14:textId="77777777" w:rsidR="00F25E62" w:rsidRDefault="00107F10">
            <w:pPr>
              <w:spacing w:after="240"/>
              <w:rPr>
                <w:sz w:val="20"/>
                <w:szCs w:val="20"/>
              </w:rPr>
            </w:pPr>
            <w:r>
              <w:rPr>
                <w:sz w:val="20"/>
                <w:szCs w:val="20"/>
              </w:rPr>
              <w:t xml:space="preserve">Eine Übersicht über alle Toilettenpavillons finden Sie hier: </w:t>
            </w:r>
            <w:hyperlink r:id="rId10">
              <w:r>
                <w:rPr>
                  <w:rStyle w:val="Hyperlink"/>
                  <w:color w:val="000000"/>
                  <w:sz w:val="20"/>
                  <w:szCs w:val="20"/>
                </w:rPr>
                <w:t>https://tokyotoilet.jp/en/</w:t>
              </w:r>
            </w:hyperlink>
          </w:p>
          <w:p w14:paraId="197822C1" w14:textId="77777777" w:rsidR="00F25E62" w:rsidRDefault="00107F10">
            <w:pPr>
              <w:rPr>
                <w:sz w:val="20"/>
                <w:szCs w:val="20"/>
              </w:rPr>
            </w:pPr>
            <w:r>
              <w:rPr>
                <w:sz w:val="20"/>
                <w:szCs w:val="20"/>
              </w:rPr>
              <w:t>Düsseldorf, im November 2023</w:t>
            </w:r>
            <w:r>
              <w:rPr>
                <w:sz w:val="20"/>
                <w:szCs w:val="20"/>
              </w:rPr>
              <w:br/>
              <w:t>Abdruck honorarfrei / Beleg erbeten</w:t>
            </w:r>
          </w:p>
        </w:tc>
        <w:tc>
          <w:tcPr>
            <w:tcW w:w="1200" w:type="pct"/>
            <w:tcBorders>
              <w:top w:val="nil"/>
              <w:left w:val="nil"/>
              <w:bottom w:val="nil"/>
              <w:right w:val="nil"/>
            </w:tcBorders>
            <w:shd w:val="clear" w:color="auto" w:fill="auto"/>
            <w:tcMar>
              <w:top w:w="0" w:type="dxa"/>
              <w:left w:w="0" w:type="dxa"/>
              <w:bottom w:w="0" w:type="dxa"/>
              <w:right w:w="227" w:type="dxa"/>
            </w:tcMar>
          </w:tcPr>
          <w:p w14:paraId="30DA1384" w14:textId="77777777" w:rsidR="00F25E62" w:rsidRDefault="00107F10">
            <w:pPr>
              <w:spacing w:after="240"/>
              <w:rPr>
                <w:sz w:val="20"/>
                <w:szCs w:val="20"/>
              </w:rPr>
            </w:pPr>
            <w:r>
              <w:rPr>
                <w:b/>
                <w:sz w:val="20"/>
                <w:szCs w:val="20"/>
              </w:rPr>
              <w:lastRenderedPageBreak/>
              <w:t>Ansprechpartner für Journalisten:</w:t>
            </w:r>
            <w:r>
              <w:rPr>
                <w:b/>
                <w:sz w:val="20"/>
                <w:szCs w:val="20"/>
              </w:rPr>
              <w:br/>
            </w:r>
            <w:r>
              <w:rPr>
                <w:sz w:val="20"/>
                <w:szCs w:val="20"/>
              </w:rPr>
              <w:t>bering*kopal GbR, Büro für Kommunikation</w:t>
            </w:r>
            <w:r>
              <w:rPr>
                <w:sz w:val="20"/>
                <w:szCs w:val="20"/>
              </w:rPr>
              <w:br/>
              <w:t>Heike Bering</w:t>
            </w:r>
            <w:r>
              <w:rPr>
                <w:sz w:val="20"/>
                <w:szCs w:val="20"/>
              </w:rPr>
              <w:br/>
              <w:t>Tel. +49 (0)711 7451 759 15</w:t>
            </w:r>
          </w:p>
          <w:p w14:paraId="392B7AC8" w14:textId="77777777" w:rsidR="00F25E62" w:rsidRDefault="00107F10">
            <w:pPr>
              <w:spacing w:after="240"/>
              <w:rPr>
                <w:sz w:val="20"/>
                <w:szCs w:val="20"/>
              </w:rPr>
            </w:pPr>
            <w:r>
              <w:rPr>
                <w:sz w:val="20"/>
                <w:szCs w:val="20"/>
              </w:rPr>
              <w:t>heike.bering@</w:t>
            </w:r>
            <w:r>
              <w:rPr>
                <w:sz w:val="20"/>
                <w:szCs w:val="20"/>
              </w:rPr>
              <w:br/>
              <w:t>bering-kopal.de</w:t>
            </w:r>
          </w:p>
          <w:p w14:paraId="54121D9A" w14:textId="77777777" w:rsidR="00F25E62" w:rsidRDefault="00107F10">
            <w:pPr>
              <w:spacing w:after="240"/>
              <w:rPr>
                <w:sz w:val="20"/>
                <w:szCs w:val="20"/>
              </w:rPr>
            </w:pPr>
            <w:r>
              <w:rPr>
                <w:b/>
                <w:sz w:val="20"/>
                <w:szCs w:val="20"/>
              </w:rPr>
              <w:t>Ansprechpartnerin im Unternehmen:</w:t>
            </w:r>
            <w:r>
              <w:rPr>
                <w:b/>
                <w:sz w:val="20"/>
                <w:szCs w:val="20"/>
              </w:rPr>
              <w:br/>
            </w:r>
            <w:r>
              <w:rPr>
                <w:sz w:val="20"/>
                <w:szCs w:val="20"/>
              </w:rPr>
              <w:t>Anja Giersiepen</w:t>
            </w:r>
            <w:r>
              <w:rPr>
                <w:sz w:val="20"/>
                <w:szCs w:val="20"/>
              </w:rPr>
              <w:br/>
              <w:t>anja.giersiepen@</w:t>
            </w:r>
            <w:r>
              <w:rPr>
                <w:sz w:val="20"/>
                <w:szCs w:val="20"/>
              </w:rPr>
              <w:br/>
              <w:t>toto.com</w:t>
            </w:r>
          </w:p>
          <w:p w14:paraId="560679B5" w14:textId="77777777" w:rsidR="00F25E62" w:rsidRDefault="00107F10">
            <w:pPr>
              <w:rPr>
                <w:sz w:val="20"/>
                <w:szCs w:val="20"/>
              </w:rPr>
            </w:pPr>
            <w:r>
              <w:rPr>
                <w:sz w:val="20"/>
                <w:szCs w:val="20"/>
              </w:rPr>
              <w:t>TOTO im Internet:</w:t>
            </w:r>
            <w:r>
              <w:rPr>
                <w:sz w:val="20"/>
                <w:szCs w:val="20"/>
              </w:rPr>
              <w:br/>
            </w:r>
            <w:hyperlink r:id="rId11">
              <w:r>
                <w:rPr>
                  <w:rStyle w:val="Hyperlink"/>
                  <w:color w:val="000000"/>
                  <w:sz w:val="20"/>
                  <w:szCs w:val="20"/>
                </w:rPr>
                <w:t>eu.toto.com/de</w:t>
              </w:r>
            </w:hyperlink>
          </w:p>
        </w:tc>
      </w:tr>
    </w:tbl>
    <w:p w14:paraId="004B576E" w14:textId="77777777" w:rsidR="00F25E62" w:rsidRDefault="00107F10">
      <w:r>
        <w:br w:type="page"/>
      </w:r>
    </w:p>
    <w:p w14:paraId="6565CD6F" w14:textId="77777777" w:rsidR="00F25E62" w:rsidRDefault="00107F10">
      <w:pPr>
        <w:rPr>
          <w:sz w:val="17"/>
          <w:szCs w:val="17"/>
        </w:rPr>
      </w:pPr>
      <w:r>
        <w:rPr>
          <w:b/>
          <w:sz w:val="17"/>
          <w:szCs w:val="17"/>
        </w:rPr>
        <w:lastRenderedPageBreak/>
        <w:t>1</w:t>
      </w:r>
      <w:r>
        <w:rPr>
          <w:sz w:val="17"/>
          <w:szCs w:val="17"/>
        </w:rPr>
        <w:t xml:space="preserve"> Im neuen Spielfilm „Perfect Days“ von Wim Wenders reinigt Hirayama – gespielt von Kōji Yakusho (links im Bild) – die einzigartigen öffentlichen Toiletten der THE TOKYO TOILET Projects der Nippon Foundation. Foto: DCM Film Distribution GmbH</w:t>
      </w:r>
      <w:r>
        <w:rPr>
          <w:sz w:val="17"/>
          <w:szCs w:val="17"/>
        </w:rPr>
        <w:br/>
      </w:r>
    </w:p>
    <w:p w14:paraId="0D86F731" w14:textId="77777777" w:rsidR="00F25E62" w:rsidRDefault="00107F10">
      <w:pPr>
        <w:rPr>
          <w:sz w:val="17"/>
          <w:szCs w:val="17"/>
        </w:rPr>
      </w:pPr>
      <w:r>
        <w:rPr>
          <w:b/>
          <w:sz w:val="17"/>
          <w:szCs w:val="17"/>
        </w:rPr>
        <w:t>2</w:t>
      </w:r>
      <w:r>
        <w:rPr>
          <w:sz w:val="17"/>
          <w:szCs w:val="17"/>
        </w:rPr>
        <w:t xml:space="preserve"> Die Hauptfigur Hirayama geht dabei seiner beruflichen Tätigkeit als Toilettenreiniger voller Hingabe und Gründlichkeit nach. Foto: DCM Film Distribution GmbH</w:t>
      </w:r>
      <w:r>
        <w:rPr>
          <w:sz w:val="17"/>
          <w:szCs w:val="17"/>
        </w:rPr>
        <w:br/>
      </w:r>
    </w:p>
    <w:p w14:paraId="0DC5C8D4" w14:textId="77777777" w:rsidR="00F25E62" w:rsidRDefault="00107F10">
      <w:pPr>
        <w:rPr>
          <w:sz w:val="17"/>
          <w:szCs w:val="17"/>
        </w:rPr>
      </w:pPr>
      <w:r>
        <w:rPr>
          <w:b/>
          <w:sz w:val="17"/>
          <w:szCs w:val="17"/>
        </w:rPr>
        <w:t>3</w:t>
      </w:r>
      <w:r>
        <w:rPr>
          <w:sz w:val="17"/>
          <w:szCs w:val="17"/>
        </w:rPr>
        <w:t xml:space="preserve"> Hirayama ruht ganz in sich und erlebt mit seinem strukturierten Alltag und seinen alltäglichen Ritualen jeden Tag den für ihn perfekten Tag. Foto: DCM Film Distribution GmbH</w:t>
      </w:r>
      <w:r>
        <w:rPr>
          <w:sz w:val="17"/>
          <w:szCs w:val="17"/>
        </w:rPr>
        <w:br/>
      </w:r>
    </w:p>
    <w:p w14:paraId="77B61F11" w14:textId="77777777" w:rsidR="00F25E62" w:rsidRDefault="00107F10">
      <w:pPr>
        <w:rPr>
          <w:sz w:val="17"/>
          <w:szCs w:val="17"/>
        </w:rPr>
      </w:pPr>
      <w:r>
        <w:rPr>
          <w:b/>
          <w:sz w:val="17"/>
          <w:szCs w:val="17"/>
        </w:rPr>
        <w:t>4</w:t>
      </w:r>
      <w:r>
        <w:rPr>
          <w:sz w:val="17"/>
          <w:szCs w:val="17"/>
        </w:rPr>
        <w:t xml:space="preserve"> Die Toilettenhäuser des THE TOKYO TOILET Project der Nippon Foundation sorgen im Stadtbild der japanischen Metropole für Aufsehen. Im Bild der Toilettenpavillon von Shigeru Ban. Von außen sind die Wände transparent und Passanten können die Toilettenräume einsehen. Foto: TOTO LTD.</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F25E62" w14:paraId="322DF572" w14:textId="77777777">
        <w:tc>
          <w:tcPr>
            <w:tcW w:w="2444" w:type="pct"/>
            <w:tcBorders>
              <w:top w:val="nil"/>
              <w:left w:val="nil"/>
              <w:bottom w:val="nil"/>
              <w:right w:val="nil"/>
            </w:tcBorders>
            <w:shd w:val="clear" w:color="auto" w:fill="auto"/>
            <w:tcMar>
              <w:top w:w="0" w:type="dxa"/>
              <w:left w:w="0" w:type="dxa"/>
              <w:bottom w:w="0" w:type="dxa"/>
              <w:right w:w="0" w:type="dxa"/>
            </w:tcMar>
          </w:tcPr>
          <w:p w14:paraId="20D2B5E8" w14:textId="77777777" w:rsidR="00F25E62" w:rsidRDefault="00107F10">
            <w:pPr>
              <w:keepNext/>
              <w:keepLines/>
              <w:rPr>
                <w:sz w:val="14"/>
                <w:szCs w:val="14"/>
              </w:rPr>
            </w:pPr>
            <w:r>
              <w:rPr>
                <w:sz w:val="14"/>
                <w:szCs w:val="14"/>
              </w:rPr>
              <w:t>1.</w:t>
            </w:r>
          </w:p>
        </w:tc>
        <w:tc>
          <w:tcPr>
            <w:tcW w:w="112" w:type="pct"/>
            <w:tcBorders>
              <w:top w:val="nil"/>
              <w:left w:val="nil"/>
              <w:bottom w:val="nil"/>
              <w:right w:val="nil"/>
            </w:tcBorders>
            <w:shd w:val="clear" w:color="auto" w:fill="auto"/>
            <w:tcMar>
              <w:top w:w="0" w:type="dxa"/>
              <w:left w:w="0" w:type="dxa"/>
              <w:bottom w:w="0" w:type="dxa"/>
              <w:right w:w="0" w:type="dxa"/>
            </w:tcMar>
          </w:tcPr>
          <w:p w14:paraId="4E9939F5" w14:textId="77777777" w:rsidR="00F25E62" w:rsidRDefault="00F25E62">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67513A14" w14:textId="77777777" w:rsidR="00F25E62" w:rsidRDefault="00107F10">
            <w:pPr>
              <w:keepNext/>
              <w:keepLines/>
              <w:rPr>
                <w:sz w:val="14"/>
                <w:szCs w:val="14"/>
              </w:rPr>
            </w:pPr>
            <w:r>
              <w:rPr>
                <w:sz w:val="14"/>
                <w:szCs w:val="14"/>
              </w:rPr>
              <w:t>2.</w:t>
            </w:r>
          </w:p>
        </w:tc>
      </w:tr>
      <w:tr w:rsidR="00F25E62" w14:paraId="1CFD35AA"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282DEAA3" w14:textId="77777777" w:rsidR="00F25E62" w:rsidRDefault="00107F10">
            <w:pPr>
              <w:keepNext/>
              <w:keepLines/>
              <w:rPr>
                <w:sz w:val="14"/>
                <w:szCs w:val="14"/>
              </w:rPr>
            </w:pPr>
            <w:r>
              <w:rPr>
                <w:noProof/>
                <w:sz w:val="14"/>
                <w:szCs w:val="14"/>
              </w:rPr>
              <w:drawing>
                <wp:inline distT="0" distB="0" distL="0" distR="0" wp14:anchorId="757EF895" wp14:editId="23135C73">
                  <wp:extent cx="2684780" cy="201422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r:embed="rId12"/>
                          <a:srcRect/>
                          <a:stretch>
                            <a:fillRect/>
                          </a:stretch>
                        </pic:blipFill>
                        <pic:spPr>
                          <a:xfrm>
                            <a:off x="0" y="0"/>
                            <a:ext cx="268478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048F28FD" w14:textId="77777777" w:rsidR="00F25E62" w:rsidRDefault="00F25E62">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0324271D" w14:textId="77777777" w:rsidR="00F25E62" w:rsidRDefault="00107F10">
            <w:pPr>
              <w:keepNext/>
              <w:keepLines/>
              <w:rPr>
                <w:sz w:val="14"/>
                <w:szCs w:val="14"/>
              </w:rPr>
            </w:pPr>
            <w:r>
              <w:rPr>
                <w:noProof/>
                <w:sz w:val="14"/>
                <w:szCs w:val="14"/>
              </w:rPr>
              <w:drawing>
                <wp:inline distT="0" distB="0" distL="0" distR="0" wp14:anchorId="38CE660B" wp14:editId="612D8BA9">
                  <wp:extent cx="2727960" cy="20142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r:embed="rId13"/>
                          <a:srcRect/>
                          <a:stretch>
                            <a:fillRect/>
                          </a:stretch>
                        </pic:blipFill>
                        <pic:spPr>
                          <a:xfrm>
                            <a:off x="0" y="0"/>
                            <a:ext cx="2727960" cy="2014220"/>
                          </a:xfrm>
                          <a:prstGeom prst="rect">
                            <a:avLst/>
                          </a:prstGeom>
                        </pic:spPr>
                      </pic:pic>
                    </a:graphicData>
                  </a:graphic>
                </wp:inline>
              </w:drawing>
            </w:r>
          </w:p>
        </w:tc>
      </w:tr>
      <w:tr w:rsidR="00F25E62" w14:paraId="1D3244F1" w14:textId="77777777">
        <w:tc>
          <w:tcPr>
            <w:tcW w:w="2444" w:type="pct"/>
            <w:tcBorders>
              <w:top w:val="nil"/>
              <w:left w:val="nil"/>
              <w:bottom w:val="nil"/>
              <w:right w:val="nil"/>
            </w:tcBorders>
            <w:shd w:val="clear" w:color="auto" w:fill="auto"/>
            <w:tcMar>
              <w:top w:w="0" w:type="dxa"/>
              <w:left w:w="0" w:type="dxa"/>
              <w:bottom w:w="0" w:type="dxa"/>
              <w:right w:w="0" w:type="dxa"/>
            </w:tcMar>
          </w:tcPr>
          <w:p w14:paraId="39008218" w14:textId="77777777" w:rsidR="00F25E62" w:rsidRDefault="00F25E62">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638B9A33" w14:textId="77777777" w:rsidR="00F25E62" w:rsidRDefault="00F25E62">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7DA77B4D" w14:textId="77777777" w:rsidR="00F25E62" w:rsidRDefault="00F25E62">
            <w:pPr>
              <w:keepNext/>
              <w:keepLines/>
              <w:rPr>
                <w:sz w:val="14"/>
                <w:szCs w:val="14"/>
              </w:rPr>
            </w:pPr>
          </w:p>
        </w:tc>
      </w:tr>
      <w:tr w:rsidR="00F25E62" w14:paraId="301A2C5F" w14:textId="77777777">
        <w:tc>
          <w:tcPr>
            <w:tcW w:w="2444" w:type="pct"/>
            <w:tcBorders>
              <w:top w:val="nil"/>
              <w:left w:val="nil"/>
              <w:bottom w:val="nil"/>
              <w:right w:val="nil"/>
            </w:tcBorders>
            <w:shd w:val="clear" w:color="auto" w:fill="auto"/>
            <w:tcMar>
              <w:top w:w="0" w:type="dxa"/>
              <w:left w:w="0" w:type="dxa"/>
              <w:bottom w:w="0" w:type="dxa"/>
              <w:right w:w="0" w:type="dxa"/>
            </w:tcMar>
          </w:tcPr>
          <w:p w14:paraId="2C8B90B8" w14:textId="77777777" w:rsidR="00F25E62" w:rsidRDefault="00107F10">
            <w:pPr>
              <w:keepNext/>
              <w:keepLines/>
              <w:rPr>
                <w:sz w:val="14"/>
                <w:szCs w:val="14"/>
              </w:rPr>
            </w:pPr>
            <w:r>
              <w:rPr>
                <w:sz w:val="14"/>
                <w:szCs w:val="14"/>
              </w:rPr>
              <w:t>3.</w:t>
            </w:r>
          </w:p>
        </w:tc>
        <w:tc>
          <w:tcPr>
            <w:tcW w:w="112" w:type="pct"/>
            <w:tcBorders>
              <w:top w:val="nil"/>
              <w:left w:val="nil"/>
              <w:bottom w:val="nil"/>
              <w:right w:val="nil"/>
            </w:tcBorders>
            <w:shd w:val="clear" w:color="auto" w:fill="auto"/>
            <w:tcMar>
              <w:top w:w="0" w:type="dxa"/>
              <w:left w:w="0" w:type="dxa"/>
              <w:bottom w:w="0" w:type="dxa"/>
              <w:right w:w="0" w:type="dxa"/>
            </w:tcMar>
          </w:tcPr>
          <w:p w14:paraId="013B9B0B" w14:textId="77777777" w:rsidR="00F25E62" w:rsidRDefault="00F25E62">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66B7B150" w14:textId="77777777" w:rsidR="00F25E62" w:rsidRDefault="00107F10">
            <w:pPr>
              <w:keepNext/>
              <w:keepLines/>
              <w:rPr>
                <w:sz w:val="14"/>
                <w:szCs w:val="14"/>
              </w:rPr>
            </w:pPr>
            <w:r>
              <w:rPr>
                <w:sz w:val="14"/>
                <w:szCs w:val="14"/>
              </w:rPr>
              <w:t>4.</w:t>
            </w:r>
          </w:p>
        </w:tc>
      </w:tr>
      <w:tr w:rsidR="00F25E62" w14:paraId="681B6EE0"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77250370" w14:textId="77777777" w:rsidR="00F25E62" w:rsidRDefault="00107F10">
            <w:pPr>
              <w:keepNext/>
              <w:keepLines/>
              <w:rPr>
                <w:sz w:val="14"/>
                <w:szCs w:val="14"/>
              </w:rPr>
            </w:pPr>
            <w:r>
              <w:rPr>
                <w:noProof/>
                <w:sz w:val="14"/>
                <w:szCs w:val="14"/>
              </w:rPr>
              <w:drawing>
                <wp:inline distT="0" distB="0" distL="0" distR="0" wp14:anchorId="2B53C02B" wp14:editId="46FFE911">
                  <wp:extent cx="2727960" cy="201422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r:embed="rId14"/>
                          <a:srcRect/>
                          <a:stretch>
                            <a:fillRect/>
                          </a:stretch>
                        </pic:blipFill>
                        <pic:spPr>
                          <a:xfrm>
                            <a:off x="0" y="0"/>
                            <a:ext cx="272796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6201D21A" w14:textId="77777777" w:rsidR="00F25E62" w:rsidRDefault="00F25E62">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7AE6175E" w14:textId="77777777" w:rsidR="00F25E62" w:rsidRDefault="00107F10">
            <w:pPr>
              <w:keepNext/>
              <w:keepLines/>
              <w:rPr>
                <w:sz w:val="14"/>
                <w:szCs w:val="14"/>
              </w:rPr>
            </w:pPr>
            <w:r>
              <w:rPr>
                <w:noProof/>
                <w:sz w:val="14"/>
                <w:szCs w:val="14"/>
              </w:rPr>
              <w:drawing>
                <wp:inline distT="0" distB="0" distL="0" distR="0" wp14:anchorId="629D1AE6" wp14:editId="401DCEB5">
                  <wp:extent cx="3023235" cy="201422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r:embed="rId15"/>
                          <a:srcRect/>
                          <a:stretch>
                            <a:fillRect/>
                          </a:stretch>
                        </pic:blipFill>
                        <pic:spPr>
                          <a:xfrm>
                            <a:off x="0" y="0"/>
                            <a:ext cx="3023235" cy="2014220"/>
                          </a:xfrm>
                          <a:prstGeom prst="rect">
                            <a:avLst/>
                          </a:prstGeom>
                        </pic:spPr>
                      </pic:pic>
                    </a:graphicData>
                  </a:graphic>
                </wp:inline>
              </w:drawing>
            </w:r>
          </w:p>
        </w:tc>
      </w:tr>
    </w:tbl>
    <w:p w14:paraId="7F797FC8" w14:textId="77777777" w:rsidR="00F25E62" w:rsidRDefault="00107F10">
      <w:r>
        <w:br w:type="page"/>
      </w:r>
    </w:p>
    <w:p w14:paraId="732817E2" w14:textId="77777777" w:rsidR="00F25E62" w:rsidRDefault="00107F10">
      <w:pPr>
        <w:rPr>
          <w:sz w:val="17"/>
          <w:szCs w:val="17"/>
        </w:rPr>
      </w:pPr>
      <w:r>
        <w:rPr>
          <w:b/>
          <w:sz w:val="17"/>
          <w:szCs w:val="17"/>
        </w:rPr>
        <w:lastRenderedPageBreak/>
        <w:t>5</w:t>
      </w:r>
      <w:r>
        <w:rPr>
          <w:sz w:val="17"/>
          <w:szCs w:val="17"/>
        </w:rPr>
        <w:t xml:space="preserve"> Sobald die Verriegelung der Tür von innen betätigt wird, verfärbt sich das Glas als undurchsichtige Wand, so dass der Nutzer von unliebsamen Blicken geschützt ist. Foto: TOTO LTD</w:t>
      </w:r>
      <w:r>
        <w:rPr>
          <w:sz w:val="17"/>
          <w:szCs w:val="17"/>
        </w:rPr>
        <w:br/>
      </w:r>
    </w:p>
    <w:p w14:paraId="64293F99" w14:textId="77777777" w:rsidR="00F25E62" w:rsidRDefault="00107F10">
      <w:pPr>
        <w:rPr>
          <w:sz w:val="17"/>
          <w:szCs w:val="17"/>
        </w:rPr>
      </w:pPr>
      <w:r>
        <w:rPr>
          <w:b/>
          <w:sz w:val="17"/>
          <w:szCs w:val="17"/>
        </w:rPr>
        <w:t>6</w:t>
      </w:r>
      <w:r>
        <w:rPr>
          <w:sz w:val="17"/>
          <w:szCs w:val="17"/>
        </w:rPr>
        <w:t xml:space="preserve"> Der weltweit bekannte Architekt Toyo Ito hat am Rand des städtischen Parks und Wäldchens Yoyogi Hachimann öffentliche Toilettenhäuser geplant, die auf dem ersten Blick an drei Pilze erinnern. Foto: TOTO LTD.</w:t>
      </w:r>
      <w:r>
        <w:rPr>
          <w:sz w:val="17"/>
          <w:szCs w:val="17"/>
        </w:rPr>
        <w:br/>
      </w:r>
    </w:p>
    <w:p w14:paraId="1D79AC39" w14:textId="77777777" w:rsidR="00F25E62" w:rsidRDefault="00107F10">
      <w:pPr>
        <w:rPr>
          <w:sz w:val="17"/>
          <w:szCs w:val="17"/>
        </w:rPr>
      </w:pPr>
      <w:r>
        <w:rPr>
          <w:b/>
          <w:sz w:val="17"/>
          <w:szCs w:val="17"/>
        </w:rPr>
        <w:t>7</w:t>
      </w:r>
      <w:r>
        <w:rPr>
          <w:sz w:val="17"/>
          <w:szCs w:val="17"/>
        </w:rPr>
        <w:t xml:space="preserve"> Jedes der drei Toilettenräume ist sehr geräumig gestaltet und die Ausstattung ist so gewählt, dass sie auch für ältere Menschen oder Kinder sehr benutzerfreundlich ist. Im Projekt von Toyo Ito kommt das WASHLET von TOTO zum Einsatz. Foto: TOTO LTD.</w:t>
      </w:r>
      <w:r>
        <w:rPr>
          <w:sz w:val="17"/>
          <w:szCs w:val="17"/>
        </w:rPr>
        <w:br/>
      </w:r>
    </w:p>
    <w:p w14:paraId="5FD0BFCD" w14:textId="77777777" w:rsidR="00F25E62" w:rsidRDefault="00107F10">
      <w:pPr>
        <w:rPr>
          <w:sz w:val="17"/>
          <w:szCs w:val="17"/>
        </w:rPr>
      </w:pPr>
      <w:r>
        <w:rPr>
          <w:b/>
          <w:sz w:val="17"/>
          <w:szCs w:val="17"/>
        </w:rPr>
        <w:t>8</w:t>
      </w:r>
      <w:r>
        <w:rPr>
          <w:sz w:val="17"/>
          <w:szCs w:val="17"/>
        </w:rPr>
        <w:t xml:space="preserve"> Die reinweiße Halbkugel von Kazoo Sato am Nanago Dori Park ist bereits ein Wahrzeichen der Gegend. Foto: TOTO LTD.</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F25E62" w14:paraId="0B2450BF" w14:textId="77777777">
        <w:tc>
          <w:tcPr>
            <w:tcW w:w="2444" w:type="pct"/>
            <w:tcBorders>
              <w:top w:val="nil"/>
              <w:left w:val="nil"/>
              <w:bottom w:val="nil"/>
              <w:right w:val="nil"/>
            </w:tcBorders>
            <w:shd w:val="clear" w:color="auto" w:fill="auto"/>
            <w:tcMar>
              <w:top w:w="0" w:type="dxa"/>
              <w:left w:w="0" w:type="dxa"/>
              <w:bottom w:w="0" w:type="dxa"/>
              <w:right w:w="0" w:type="dxa"/>
            </w:tcMar>
          </w:tcPr>
          <w:p w14:paraId="665B050B" w14:textId="77777777" w:rsidR="00F25E62" w:rsidRDefault="00107F10">
            <w:pPr>
              <w:keepNext/>
              <w:keepLines/>
              <w:rPr>
                <w:sz w:val="14"/>
                <w:szCs w:val="14"/>
              </w:rPr>
            </w:pPr>
            <w:r>
              <w:rPr>
                <w:sz w:val="14"/>
                <w:szCs w:val="14"/>
              </w:rPr>
              <w:t>5.</w:t>
            </w:r>
          </w:p>
        </w:tc>
        <w:tc>
          <w:tcPr>
            <w:tcW w:w="112" w:type="pct"/>
            <w:tcBorders>
              <w:top w:val="nil"/>
              <w:left w:val="nil"/>
              <w:bottom w:val="nil"/>
              <w:right w:val="nil"/>
            </w:tcBorders>
            <w:shd w:val="clear" w:color="auto" w:fill="auto"/>
            <w:tcMar>
              <w:top w:w="0" w:type="dxa"/>
              <w:left w:w="0" w:type="dxa"/>
              <w:bottom w:w="0" w:type="dxa"/>
              <w:right w:w="0" w:type="dxa"/>
            </w:tcMar>
          </w:tcPr>
          <w:p w14:paraId="4CDD7493" w14:textId="77777777" w:rsidR="00F25E62" w:rsidRDefault="00F25E62">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66CE15B9" w14:textId="77777777" w:rsidR="00F25E62" w:rsidRDefault="00107F10">
            <w:pPr>
              <w:keepNext/>
              <w:keepLines/>
              <w:rPr>
                <w:sz w:val="14"/>
                <w:szCs w:val="14"/>
              </w:rPr>
            </w:pPr>
            <w:r>
              <w:rPr>
                <w:sz w:val="14"/>
                <w:szCs w:val="14"/>
              </w:rPr>
              <w:t>6.</w:t>
            </w:r>
          </w:p>
        </w:tc>
      </w:tr>
      <w:tr w:rsidR="00F25E62" w14:paraId="5BF5D6D2"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0B3A7081" w14:textId="77777777" w:rsidR="00F25E62" w:rsidRDefault="00107F10">
            <w:pPr>
              <w:keepNext/>
              <w:keepLines/>
              <w:rPr>
                <w:sz w:val="14"/>
                <w:szCs w:val="14"/>
              </w:rPr>
            </w:pPr>
            <w:r>
              <w:rPr>
                <w:noProof/>
                <w:sz w:val="14"/>
                <w:szCs w:val="14"/>
              </w:rPr>
              <w:drawing>
                <wp:inline distT="0" distB="0" distL="0" distR="0" wp14:anchorId="528FD7D6" wp14:editId="7357FDA9">
                  <wp:extent cx="3023235" cy="201422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r:embed="rId16"/>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5BFAB26B" w14:textId="77777777" w:rsidR="00F25E62" w:rsidRDefault="00F25E62">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3B9B9D7F" w14:textId="77777777" w:rsidR="00F25E62" w:rsidRDefault="00107F10">
            <w:pPr>
              <w:keepNext/>
              <w:keepLines/>
              <w:rPr>
                <w:sz w:val="14"/>
                <w:szCs w:val="14"/>
              </w:rPr>
            </w:pPr>
            <w:r>
              <w:rPr>
                <w:noProof/>
                <w:sz w:val="14"/>
                <w:szCs w:val="14"/>
              </w:rPr>
              <w:drawing>
                <wp:inline distT="0" distB="0" distL="0" distR="0" wp14:anchorId="11AB4332" wp14:editId="723D7FF2">
                  <wp:extent cx="3023235" cy="201422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r:embed="rId17"/>
                          <a:srcRect/>
                          <a:stretch>
                            <a:fillRect/>
                          </a:stretch>
                        </pic:blipFill>
                        <pic:spPr>
                          <a:xfrm>
                            <a:off x="0" y="0"/>
                            <a:ext cx="3023235" cy="2014220"/>
                          </a:xfrm>
                          <a:prstGeom prst="rect">
                            <a:avLst/>
                          </a:prstGeom>
                        </pic:spPr>
                      </pic:pic>
                    </a:graphicData>
                  </a:graphic>
                </wp:inline>
              </w:drawing>
            </w:r>
          </w:p>
        </w:tc>
      </w:tr>
      <w:tr w:rsidR="00F25E62" w14:paraId="7AE17826" w14:textId="77777777">
        <w:tc>
          <w:tcPr>
            <w:tcW w:w="2444" w:type="pct"/>
            <w:tcBorders>
              <w:top w:val="nil"/>
              <w:left w:val="nil"/>
              <w:bottom w:val="nil"/>
              <w:right w:val="nil"/>
            </w:tcBorders>
            <w:shd w:val="clear" w:color="auto" w:fill="auto"/>
            <w:tcMar>
              <w:top w:w="0" w:type="dxa"/>
              <w:left w:w="0" w:type="dxa"/>
              <w:bottom w:w="0" w:type="dxa"/>
              <w:right w:w="0" w:type="dxa"/>
            </w:tcMar>
          </w:tcPr>
          <w:p w14:paraId="013F0D49" w14:textId="77777777" w:rsidR="00F25E62" w:rsidRDefault="00F25E62">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6AED5892" w14:textId="77777777" w:rsidR="00F25E62" w:rsidRDefault="00F25E62">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2E6BDBF1" w14:textId="77777777" w:rsidR="00F25E62" w:rsidRDefault="00F25E62">
            <w:pPr>
              <w:keepNext/>
              <w:keepLines/>
              <w:rPr>
                <w:sz w:val="14"/>
                <w:szCs w:val="14"/>
              </w:rPr>
            </w:pPr>
          </w:p>
        </w:tc>
      </w:tr>
      <w:tr w:rsidR="00F25E62" w14:paraId="22A56A3B" w14:textId="77777777">
        <w:tc>
          <w:tcPr>
            <w:tcW w:w="2444" w:type="pct"/>
            <w:tcBorders>
              <w:top w:val="nil"/>
              <w:left w:val="nil"/>
              <w:bottom w:val="nil"/>
              <w:right w:val="nil"/>
            </w:tcBorders>
            <w:shd w:val="clear" w:color="auto" w:fill="auto"/>
            <w:tcMar>
              <w:top w:w="0" w:type="dxa"/>
              <w:left w:w="0" w:type="dxa"/>
              <w:bottom w:w="0" w:type="dxa"/>
              <w:right w:w="0" w:type="dxa"/>
            </w:tcMar>
          </w:tcPr>
          <w:p w14:paraId="36CB5493" w14:textId="77777777" w:rsidR="00F25E62" w:rsidRDefault="00107F10">
            <w:pPr>
              <w:keepNext/>
              <w:keepLines/>
              <w:rPr>
                <w:sz w:val="14"/>
                <w:szCs w:val="14"/>
              </w:rPr>
            </w:pPr>
            <w:r>
              <w:rPr>
                <w:sz w:val="14"/>
                <w:szCs w:val="14"/>
              </w:rPr>
              <w:t>7.</w:t>
            </w:r>
          </w:p>
        </w:tc>
        <w:tc>
          <w:tcPr>
            <w:tcW w:w="112" w:type="pct"/>
            <w:tcBorders>
              <w:top w:val="nil"/>
              <w:left w:val="nil"/>
              <w:bottom w:val="nil"/>
              <w:right w:val="nil"/>
            </w:tcBorders>
            <w:shd w:val="clear" w:color="auto" w:fill="auto"/>
            <w:tcMar>
              <w:top w:w="0" w:type="dxa"/>
              <w:left w:w="0" w:type="dxa"/>
              <w:bottom w:w="0" w:type="dxa"/>
              <w:right w:w="0" w:type="dxa"/>
            </w:tcMar>
          </w:tcPr>
          <w:p w14:paraId="31784E2A" w14:textId="77777777" w:rsidR="00F25E62" w:rsidRDefault="00F25E62">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6F5B7506" w14:textId="77777777" w:rsidR="00F25E62" w:rsidRDefault="00107F10">
            <w:pPr>
              <w:keepNext/>
              <w:keepLines/>
              <w:rPr>
                <w:sz w:val="14"/>
                <w:szCs w:val="14"/>
              </w:rPr>
            </w:pPr>
            <w:r>
              <w:rPr>
                <w:sz w:val="14"/>
                <w:szCs w:val="14"/>
              </w:rPr>
              <w:t>8.</w:t>
            </w:r>
          </w:p>
        </w:tc>
      </w:tr>
      <w:tr w:rsidR="00F25E62" w14:paraId="42626BEE"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3EE9276F" w14:textId="77777777" w:rsidR="00F25E62" w:rsidRDefault="00107F10">
            <w:pPr>
              <w:keepNext/>
              <w:keepLines/>
              <w:rPr>
                <w:sz w:val="14"/>
                <w:szCs w:val="14"/>
              </w:rPr>
            </w:pPr>
            <w:r>
              <w:rPr>
                <w:noProof/>
                <w:sz w:val="14"/>
                <w:szCs w:val="14"/>
              </w:rPr>
              <w:drawing>
                <wp:inline distT="0" distB="0" distL="0" distR="0" wp14:anchorId="3C625C41" wp14:editId="2479EE79">
                  <wp:extent cx="1343660" cy="201422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r:embed="rId18"/>
                          <a:srcRect/>
                          <a:stretch>
                            <a:fillRect/>
                          </a:stretch>
                        </pic:blipFill>
                        <pic:spPr>
                          <a:xfrm>
                            <a:off x="0" y="0"/>
                            <a:ext cx="134366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119AAA8A" w14:textId="77777777" w:rsidR="00F25E62" w:rsidRDefault="00F25E62">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758D221B" w14:textId="77777777" w:rsidR="00F25E62" w:rsidRDefault="00107F10">
            <w:pPr>
              <w:keepNext/>
              <w:keepLines/>
              <w:rPr>
                <w:sz w:val="14"/>
                <w:szCs w:val="14"/>
              </w:rPr>
            </w:pPr>
            <w:r>
              <w:rPr>
                <w:noProof/>
                <w:sz w:val="14"/>
                <w:szCs w:val="14"/>
              </w:rPr>
              <w:drawing>
                <wp:inline distT="0" distB="0" distL="0" distR="0" wp14:anchorId="74BE6F05" wp14:editId="48B61591">
                  <wp:extent cx="3023235" cy="201422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r:embed="rId19"/>
                          <a:srcRect/>
                          <a:stretch>
                            <a:fillRect/>
                          </a:stretch>
                        </pic:blipFill>
                        <pic:spPr>
                          <a:xfrm>
                            <a:off x="0" y="0"/>
                            <a:ext cx="3023235" cy="2014220"/>
                          </a:xfrm>
                          <a:prstGeom prst="rect">
                            <a:avLst/>
                          </a:prstGeom>
                        </pic:spPr>
                      </pic:pic>
                    </a:graphicData>
                  </a:graphic>
                </wp:inline>
              </w:drawing>
            </w:r>
          </w:p>
        </w:tc>
      </w:tr>
    </w:tbl>
    <w:p w14:paraId="54D368B2" w14:textId="77777777" w:rsidR="00F25E62" w:rsidRDefault="00107F10">
      <w:r>
        <w:br w:type="page"/>
      </w:r>
    </w:p>
    <w:p w14:paraId="4D644955" w14:textId="77777777" w:rsidR="00F25E62" w:rsidRDefault="00107F10">
      <w:pPr>
        <w:rPr>
          <w:sz w:val="17"/>
          <w:szCs w:val="17"/>
        </w:rPr>
      </w:pPr>
      <w:r>
        <w:rPr>
          <w:b/>
          <w:sz w:val="17"/>
          <w:szCs w:val="17"/>
        </w:rPr>
        <w:lastRenderedPageBreak/>
        <w:t>9</w:t>
      </w:r>
      <w:r>
        <w:rPr>
          <w:sz w:val="17"/>
          <w:szCs w:val="17"/>
        </w:rPr>
        <w:t xml:space="preserve"> Im Fokus der 17 sehenswerten Toilettenhäuser des THE TOKYO TOILET stehen eine moderne, einladende Architektur und eine hygienische und inklusive Sanitärausstattung. Die Toiletten sollten sicher und sauber zu jeder Tages- und Nachtzeit sein und für jeden zugänglich, egal welches Geschlecht, welches Alter und mit welchen körperlichen Einschränkungen. Foto: TOTO LTD.</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F25E62" w14:paraId="0A14408F" w14:textId="77777777">
        <w:tc>
          <w:tcPr>
            <w:tcW w:w="2444" w:type="pct"/>
            <w:tcBorders>
              <w:top w:val="nil"/>
              <w:left w:val="nil"/>
              <w:bottom w:val="nil"/>
              <w:right w:val="nil"/>
            </w:tcBorders>
            <w:shd w:val="clear" w:color="auto" w:fill="auto"/>
            <w:tcMar>
              <w:top w:w="0" w:type="dxa"/>
              <w:left w:w="0" w:type="dxa"/>
              <w:bottom w:w="0" w:type="dxa"/>
              <w:right w:w="0" w:type="dxa"/>
            </w:tcMar>
          </w:tcPr>
          <w:p w14:paraId="1B5E2576" w14:textId="77777777" w:rsidR="00F25E62" w:rsidRDefault="00107F10">
            <w:pPr>
              <w:keepNext/>
              <w:keepLines/>
              <w:rPr>
                <w:sz w:val="14"/>
                <w:szCs w:val="14"/>
              </w:rPr>
            </w:pPr>
            <w:r>
              <w:rPr>
                <w:sz w:val="14"/>
                <w:szCs w:val="14"/>
              </w:rPr>
              <w:t>9.</w:t>
            </w:r>
          </w:p>
        </w:tc>
        <w:tc>
          <w:tcPr>
            <w:tcW w:w="112" w:type="pct"/>
            <w:tcBorders>
              <w:top w:val="nil"/>
              <w:left w:val="nil"/>
              <w:bottom w:val="nil"/>
              <w:right w:val="nil"/>
            </w:tcBorders>
            <w:shd w:val="clear" w:color="auto" w:fill="auto"/>
            <w:tcMar>
              <w:top w:w="0" w:type="dxa"/>
              <w:left w:w="0" w:type="dxa"/>
              <w:bottom w:w="0" w:type="dxa"/>
              <w:right w:w="0" w:type="dxa"/>
            </w:tcMar>
          </w:tcPr>
          <w:p w14:paraId="05CFE2B5" w14:textId="77777777" w:rsidR="00F25E62" w:rsidRDefault="00F25E62">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1338EE22" w14:textId="77777777" w:rsidR="00F25E62" w:rsidRDefault="00F25E62">
            <w:pPr>
              <w:keepNext/>
              <w:keepLines/>
              <w:rPr>
                <w:sz w:val="14"/>
                <w:szCs w:val="14"/>
              </w:rPr>
            </w:pPr>
          </w:p>
        </w:tc>
      </w:tr>
      <w:tr w:rsidR="00F25E62" w14:paraId="152C0B82"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45FD55E3" w14:textId="77777777" w:rsidR="00F25E62" w:rsidRDefault="00107F10">
            <w:pPr>
              <w:keepNext/>
              <w:keepLines/>
              <w:rPr>
                <w:sz w:val="14"/>
                <w:szCs w:val="14"/>
              </w:rPr>
            </w:pPr>
            <w:r>
              <w:rPr>
                <w:noProof/>
                <w:sz w:val="14"/>
                <w:szCs w:val="14"/>
              </w:rPr>
              <w:drawing>
                <wp:inline distT="0" distB="0" distL="0" distR="0" wp14:anchorId="0C66342B" wp14:editId="47EC1CF4">
                  <wp:extent cx="3023235" cy="201422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r:embed="rId20"/>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22D4B830" w14:textId="77777777" w:rsidR="00F25E62" w:rsidRDefault="00F25E62">
            <w:pPr>
              <w:keepNext/>
              <w:keepLines/>
              <w:rPr>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14:paraId="55AAD14B" w14:textId="77777777" w:rsidR="00F25E62" w:rsidRDefault="00F25E62">
            <w:pPr>
              <w:keepNext/>
              <w:keepLines/>
              <w:rPr>
                <w:sz w:val="17"/>
                <w:szCs w:val="17"/>
              </w:rPr>
            </w:pPr>
          </w:p>
        </w:tc>
      </w:tr>
      <w:tr w:rsidR="00F25E62" w14:paraId="4CDBC830" w14:textId="77777777">
        <w:tc>
          <w:tcPr>
            <w:tcW w:w="2444" w:type="pct"/>
            <w:tcBorders>
              <w:top w:val="nil"/>
              <w:left w:val="nil"/>
              <w:bottom w:val="nil"/>
              <w:right w:val="nil"/>
            </w:tcBorders>
            <w:shd w:val="clear" w:color="auto" w:fill="auto"/>
            <w:tcMar>
              <w:top w:w="0" w:type="dxa"/>
              <w:left w:w="0" w:type="dxa"/>
              <w:bottom w:w="0" w:type="dxa"/>
              <w:right w:w="0" w:type="dxa"/>
            </w:tcMar>
          </w:tcPr>
          <w:p w14:paraId="55C224DC" w14:textId="77777777" w:rsidR="00F25E62" w:rsidRDefault="00F25E62">
            <w:pPr>
              <w:keepNext/>
              <w:keepLines/>
              <w:rPr>
                <w:sz w:val="17"/>
                <w:szCs w:val="17"/>
              </w:rPr>
            </w:pPr>
          </w:p>
        </w:tc>
        <w:tc>
          <w:tcPr>
            <w:tcW w:w="112" w:type="pct"/>
            <w:tcBorders>
              <w:top w:val="nil"/>
              <w:left w:val="nil"/>
              <w:bottom w:val="nil"/>
              <w:right w:val="nil"/>
            </w:tcBorders>
            <w:shd w:val="clear" w:color="auto" w:fill="auto"/>
            <w:tcMar>
              <w:top w:w="0" w:type="dxa"/>
              <w:left w:w="0" w:type="dxa"/>
              <w:bottom w:w="0" w:type="dxa"/>
              <w:right w:w="0" w:type="dxa"/>
            </w:tcMar>
          </w:tcPr>
          <w:p w14:paraId="140CF353" w14:textId="77777777" w:rsidR="00F25E62" w:rsidRDefault="00F25E62">
            <w:pPr>
              <w:keepNext/>
              <w:keepLines/>
              <w:rPr>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14:paraId="4FDF841A" w14:textId="77777777" w:rsidR="00F25E62" w:rsidRDefault="00F25E62">
            <w:pPr>
              <w:keepNext/>
              <w:keepLines/>
              <w:rPr>
                <w:sz w:val="17"/>
                <w:szCs w:val="17"/>
              </w:rPr>
            </w:pPr>
          </w:p>
        </w:tc>
      </w:tr>
      <w:tr w:rsidR="00F25E62" w14:paraId="63BEC43E" w14:textId="77777777">
        <w:tc>
          <w:tcPr>
            <w:tcW w:w="2444" w:type="pct"/>
            <w:tcBorders>
              <w:top w:val="nil"/>
              <w:left w:val="nil"/>
              <w:bottom w:val="nil"/>
              <w:right w:val="nil"/>
            </w:tcBorders>
            <w:shd w:val="clear" w:color="auto" w:fill="auto"/>
            <w:tcMar>
              <w:top w:w="0" w:type="dxa"/>
              <w:left w:w="0" w:type="dxa"/>
              <w:bottom w:w="0" w:type="dxa"/>
              <w:right w:w="0" w:type="dxa"/>
            </w:tcMar>
          </w:tcPr>
          <w:p w14:paraId="269BC51D" w14:textId="77777777" w:rsidR="00F25E62" w:rsidRDefault="00F25E62">
            <w:pPr>
              <w:keepNext/>
              <w:keepLines/>
              <w:rPr>
                <w:sz w:val="17"/>
                <w:szCs w:val="17"/>
              </w:rPr>
            </w:pPr>
          </w:p>
        </w:tc>
        <w:tc>
          <w:tcPr>
            <w:tcW w:w="112" w:type="pct"/>
            <w:tcBorders>
              <w:top w:val="nil"/>
              <w:left w:val="nil"/>
              <w:bottom w:val="nil"/>
              <w:right w:val="nil"/>
            </w:tcBorders>
            <w:shd w:val="clear" w:color="auto" w:fill="auto"/>
            <w:tcMar>
              <w:top w:w="0" w:type="dxa"/>
              <w:left w:w="0" w:type="dxa"/>
              <w:bottom w:w="0" w:type="dxa"/>
              <w:right w:w="0" w:type="dxa"/>
            </w:tcMar>
          </w:tcPr>
          <w:p w14:paraId="40E59DAF" w14:textId="77777777" w:rsidR="00F25E62" w:rsidRDefault="00F25E62">
            <w:pPr>
              <w:keepNext/>
              <w:keepLines/>
              <w:rPr>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14:paraId="43DF2C99" w14:textId="77777777" w:rsidR="00F25E62" w:rsidRDefault="00F25E62">
            <w:pPr>
              <w:keepNext/>
              <w:keepLines/>
              <w:rPr>
                <w:sz w:val="17"/>
                <w:szCs w:val="17"/>
              </w:rPr>
            </w:pPr>
          </w:p>
        </w:tc>
      </w:tr>
      <w:tr w:rsidR="00F25E62" w14:paraId="5C1B8EED" w14:textId="77777777">
        <w:tc>
          <w:tcPr>
            <w:tcW w:w="2444" w:type="pct"/>
            <w:tcBorders>
              <w:top w:val="nil"/>
              <w:left w:val="nil"/>
              <w:bottom w:val="nil"/>
              <w:right w:val="nil"/>
            </w:tcBorders>
            <w:shd w:val="clear" w:color="auto" w:fill="auto"/>
            <w:tcMar>
              <w:top w:w="0" w:type="dxa"/>
              <w:left w:w="0" w:type="dxa"/>
              <w:bottom w:w="0" w:type="dxa"/>
              <w:right w:w="0" w:type="dxa"/>
            </w:tcMar>
          </w:tcPr>
          <w:p w14:paraId="287B767C" w14:textId="77777777" w:rsidR="00F25E62" w:rsidRDefault="00F25E62">
            <w:pPr>
              <w:keepNext/>
              <w:keepLines/>
              <w:rPr>
                <w:sz w:val="17"/>
                <w:szCs w:val="17"/>
              </w:rPr>
            </w:pPr>
          </w:p>
        </w:tc>
        <w:tc>
          <w:tcPr>
            <w:tcW w:w="112" w:type="pct"/>
            <w:tcBorders>
              <w:top w:val="nil"/>
              <w:left w:val="nil"/>
              <w:bottom w:val="nil"/>
              <w:right w:val="nil"/>
            </w:tcBorders>
            <w:shd w:val="clear" w:color="auto" w:fill="auto"/>
            <w:tcMar>
              <w:top w:w="0" w:type="dxa"/>
              <w:left w:w="0" w:type="dxa"/>
              <w:bottom w:w="0" w:type="dxa"/>
              <w:right w:w="0" w:type="dxa"/>
            </w:tcMar>
          </w:tcPr>
          <w:p w14:paraId="237D4578" w14:textId="77777777" w:rsidR="00F25E62" w:rsidRDefault="00F25E62">
            <w:pPr>
              <w:keepNext/>
              <w:keepLines/>
              <w:rPr>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14:paraId="17DEDEF1" w14:textId="77777777" w:rsidR="00F25E62" w:rsidRDefault="00F25E62">
            <w:pPr>
              <w:keepNext/>
              <w:keepLines/>
              <w:rPr>
                <w:sz w:val="17"/>
                <w:szCs w:val="17"/>
              </w:rPr>
            </w:pPr>
          </w:p>
        </w:tc>
      </w:tr>
    </w:tbl>
    <w:p w14:paraId="28470FF6" w14:textId="77777777" w:rsidR="00F25E62" w:rsidRDefault="00107F10">
      <w:r>
        <w:br w:type="page"/>
      </w:r>
    </w:p>
    <w:tbl>
      <w:tblPr>
        <w:tblStyle w:val="TabelleEinfach1"/>
        <w:tblW w:w="5000" w:type="pct"/>
        <w:tblLayout w:type="fixed"/>
        <w:tblCellMar>
          <w:left w:w="0" w:type="dxa"/>
          <w:right w:w="227" w:type="dxa"/>
        </w:tblCellMar>
        <w:tblLook w:val="04A0" w:firstRow="1" w:lastRow="0" w:firstColumn="1" w:lastColumn="0" w:noHBand="0" w:noVBand="1"/>
      </w:tblPr>
      <w:tblGrid>
        <w:gridCol w:w="3706"/>
        <w:gridCol w:w="3706"/>
        <w:gridCol w:w="2340"/>
      </w:tblGrid>
      <w:tr w:rsidR="00F25E62" w14:paraId="0CF49474" w14:textId="77777777">
        <w:tc>
          <w:tcPr>
            <w:tcW w:w="3800" w:type="pct"/>
            <w:gridSpan w:val="2"/>
            <w:tcBorders>
              <w:top w:val="nil"/>
              <w:left w:val="nil"/>
              <w:bottom w:val="nil"/>
              <w:right w:val="nil"/>
            </w:tcBorders>
            <w:shd w:val="clear" w:color="auto" w:fill="auto"/>
            <w:tcMar>
              <w:top w:w="0" w:type="dxa"/>
              <w:left w:w="0" w:type="dxa"/>
              <w:bottom w:w="0" w:type="dxa"/>
              <w:right w:w="227" w:type="dxa"/>
            </w:tcMar>
          </w:tcPr>
          <w:p w14:paraId="493C1F7E" w14:textId="77777777" w:rsidR="00F25E62" w:rsidRDefault="00107F10">
            <w:pPr>
              <w:spacing w:before="240" w:after="240"/>
              <w:rPr>
                <w:sz w:val="20"/>
                <w:szCs w:val="20"/>
              </w:rPr>
            </w:pPr>
            <w:r>
              <w:rPr>
                <w:b/>
                <w:sz w:val="20"/>
                <w:szCs w:val="20"/>
              </w:rPr>
              <w:lastRenderedPageBreak/>
              <w:t>Über TOTO Europe</w:t>
            </w:r>
          </w:p>
          <w:p w14:paraId="2290F76C" w14:textId="77777777" w:rsidR="00F25E62" w:rsidRDefault="00107F10">
            <w:pPr>
              <w:spacing w:before="240" w:after="240"/>
              <w:rPr>
                <w:sz w:val="20"/>
                <w:szCs w:val="20"/>
              </w:rPr>
            </w:pPr>
            <w:r>
              <w:rPr>
                <w:sz w:val="20"/>
                <w:szCs w:val="20"/>
              </w:rPr>
              <w:t>Bei TOTO, das zu den führenden internationalen Sanitärunternehmen zählt, steht der Mensch und sein Wohlbefinden im Mittelpunkt. Bereits 1917 in Kitakyushu, Japan, gegründet, entwickelt, produziert und vertreibt TOTO seit 2009 seine ganzheitlichen Badezimmerkonzepte für gehobene Ansprüche auch in Europa. Das Ziel ist es, durch Regeneration, Komfort und Hygiene ein neues Lebensgefühl zu schaffen und die Technik intelligent und nahezu unsichtbar in das Design zu integrieren. Japans führender Hersteller präsent</w:t>
            </w:r>
            <w:r>
              <w:rPr>
                <w:sz w:val="20"/>
                <w:szCs w:val="20"/>
              </w:rPr>
              <w:t>iert als Komplettbadanbieter Sanitärkeramik, Armaturen und Accessoires. Das Unternehmen kann mittlerweile auf über 40 Jahre Entwicklung und Herstellung von WASHLET zurückblicken und hat bisher weltweit über 60 Mio. Stück verkauft. Auf dem Weg zu einem nachhaltig ausgerichteten Unternehmen, das die Entwicklung hin zu einer vollständig emissionsfreien Gesellschaft unterstützt, zeigt TOTO ein hohes Engagement: Mit dem Beitritt zur Initiative RE100 bekennt sich die TOTO-Unternehmensgruppe dazu, an allen Standor</w:t>
            </w:r>
            <w:r>
              <w:rPr>
                <w:sz w:val="20"/>
                <w:szCs w:val="20"/>
              </w:rPr>
              <w:t xml:space="preserve">ten bis zum Jahr 2040 vollständig auf Strom aus erneuerbaren Energien umzustellen. Im Juni 2021 erfolgte die Zertifizierung der </w:t>
            </w:r>
            <w:hyperlink r:id="rId21">
              <w:r>
                <w:rPr>
                  <w:rStyle w:val="Hyperlink"/>
                  <w:color w:val="000000"/>
                  <w:sz w:val="20"/>
                  <w:szCs w:val="20"/>
                </w:rPr>
                <w:t xml:space="preserve">Science Based Targets </w:t>
              </w:r>
            </w:hyperlink>
            <w:r>
              <w:rPr>
                <w:sz w:val="20"/>
                <w:szCs w:val="20"/>
              </w:rPr>
              <w:t>Initiative (SBT), um die Reduzierung von Treibhausgasen im Einklang mit dem Pariser Abkommen zu erreichen und auf dieser Grundlage die CO</w:t>
            </w:r>
            <w:r>
              <w:rPr>
                <w:sz w:val="20"/>
                <w:szCs w:val="20"/>
                <w:vertAlign w:val="subscript"/>
              </w:rPr>
              <w:t>2</w:t>
            </w:r>
            <w:r>
              <w:rPr>
                <w:sz w:val="20"/>
                <w:szCs w:val="20"/>
              </w:rPr>
              <w:t>-Emissionen systematisch weiter zu reduzieren. Weltweit arbeiten mehr als 36000 Menschen bei TOTO.</w:t>
            </w:r>
          </w:p>
          <w:p w14:paraId="2E70AB20" w14:textId="77777777" w:rsidR="00F25E62" w:rsidRDefault="00107F10">
            <w:pPr>
              <w:spacing w:before="240" w:after="240"/>
              <w:rPr>
                <w:sz w:val="20"/>
                <w:szCs w:val="20"/>
              </w:rPr>
            </w:pPr>
            <w:r>
              <w:rPr>
                <w:sz w:val="20"/>
                <w:szCs w:val="20"/>
              </w:rPr>
              <w:t xml:space="preserve">Mehr über TOTO: </w:t>
            </w:r>
            <w:hyperlink r:id="rId22" w:tgtFrame="_blank">
              <w:r>
                <w:rPr>
                  <w:rStyle w:val="Hyperlink"/>
                  <w:color w:val="000000"/>
                  <w:sz w:val="20"/>
                  <w:szCs w:val="20"/>
                </w:rPr>
                <w:t>de.toto.com</w:t>
              </w:r>
            </w:hyperlink>
          </w:p>
          <w:p w14:paraId="3361A9A4" w14:textId="77777777" w:rsidR="00F25E62" w:rsidRDefault="00107F10">
            <w:pPr>
              <w:rPr>
                <w:sz w:val="20"/>
                <w:szCs w:val="20"/>
              </w:rPr>
            </w:pPr>
            <w:r>
              <w:rPr>
                <w:sz w:val="20"/>
                <w:szCs w:val="20"/>
              </w:rPr>
              <w:br/>
            </w:r>
          </w:p>
        </w:tc>
        <w:tc>
          <w:tcPr>
            <w:tcW w:w="1200" w:type="pct"/>
            <w:tcBorders>
              <w:top w:val="nil"/>
              <w:left w:val="nil"/>
              <w:bottom w:val="nil"/>
              <w:right w:val="nil"/>
            </w:tcBorders>
            <w:shd w:val="clear" w:color="auto" w:fill="auto"/>
            <w:tcMar>
              <w:top w:w="0" w:type="dxa"/>
              <w:left w:w="0" w:type="dxa"/>
              <w:bottom w:w="0" w:type="dxa"/>
              <w:right w:w="227" w:type="dxa"/>
            </w:tcMar>
          </w:tcPr>
          <w:p w14:paraId="44B5C933" w14:textId="77777777" w:rsidR="00F25E62" w:rsidRDefault="00107F10">
            <w:pPr>
              <w:rPr>
                <w:sz w:val="20"/>
                <w:szCs w:val="20"/>
              </w:rPr>
            </w:pPr>
            <w:r>
              <w:rPr>
                <w:sz w:val="20"/>
                <w:szCs w:val="20"/>
              </w:rPr>
              <w:br/>
            </w:r>
          </w:p>
        </w:tc>
      </w:tr>
      <w:tr w:rsidR="00F25E62" w14:paraId="3C06AAAB" w14:textId="77777777">
        <w:trPr>
          <w:gridAfter w:val="1"/>
          <w:wAfter w:w="1728" w:type="dxa"/>
        </w:trPr>
        <w:tc>
          <w:tcPr>
            <w:tcW w:w="2736" w:type="dxa"/>
            <w:tcBorders>
              <w:top w:val="nil"/>
              <w:left w:val="nil"/>
              <w:bottom w:val="nil"/>
              <w:right w:val="nil"/>
            </w:tcBorders>
            <w:shd w:val="clear" w:color="auto" w:fill="auto"/>
            <w:tcMar>
              <w:top w:w="0" w:type="dxa"/>
              <w:left w:w="0" w:type="dxa"/>
              <w:bottom w:w="0" w:type="dxa"/>
              <w:right w:w="227" w:type="dxa"/>
            </w:tcMar>
          </w:tcPr>
          <w:p w14:paraId="1DEFE156" w14:textId="77777777" w:rsidR="00F25E62" w:rsidRDefault="00F25E62">
            <w:pPr>
              <w:rPr>
                <w:sz w:val="20"/>
                <w:szCs w:val="20"/>
              </w:rPr>
            </w:pPr>
          </w:p>
        </w:tc>
        <w:tc>
          <w:tcPr>
            <w:tcW w:w="2736" w:type="dxa"/>
            <w:tcBorders>
              <w:top w:val="nil"/>
              <w:left w:val="nil"/>
              <w:bottom w:val="nil"/>
              <w:right w:val="nil"/>
            </w:tcBorders>
            <w:shd w:val="clear" w:color="auto" w:fill="auto"/>
            <w:tcMar>
              <w:top w:w="0" w:type="dxa"/>
              <w:left w:w="0" w:type="dxa"/>
              <w:bottom w:w="0" w:type="dxa"/>
              <w:right w:w="227" w:type="dxa"/>
            </w:tcMar>
          </w:tcPr>
          <w:p w14:paraId="16A466C1" w14:textId="77777777" w:rsidR="00F25E62" w:rsidRDefault="00F25E62">
            <w:pPr>
              <w:rPr>
                <w:sz w:val="20"/>
                <w:szCs w:val="20"/>
              </w:rPr>
            </w:pPr>
          </w:p>
        </w:tc>
      </w:tr>
    </w:tbl>
    <w:p w14:paraId="66CE3092" w14:textId="77777777" w:rsidR="00F25E62" w:rsidRDefault="00F25E62"/>
    <w:sectPr w:rsidR="00F25E62">
      <w:headerReference w:type="default" r:id="rId23"/>
      <w:footerReference w:type="default" r:id="rId24"/>
      <w:headerReference w:type="first" r:id="rId25"/>
      <w:footerReference w:type="first" r:id="rId26"/>
      <w:pgSz w:w="11906" w:h="16838"/>
      <w:pgMar w:top="1701" w:right="1020" w:bottom="1417" w:left="1134" w:header="850" w:footer="28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6ADF3A" w14:textId="77777777" w:rsidR="00107F10" w:rsidRDefault="00107F10">
      <w:pPr>
        <w:spacing w:line="240" w:lineRule="auto"/>
      </w:pPr>
      <w:r>
        <w:separator/>
      </w:r>
    </w:p>
  </w:endnote>
  <w:endnote w:type="continuationSeparator" w:id="0">
    <w:p w14:paraId="5B21F448" w14:textId="77777777" w:rsidR="00107F10" w:rsidRDefault="00107F1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Einfach1"/>
      <w:tblW w:w="5000" w:type="pct"/>
      <w:tblLayout w:type="fixed"/>
      <w:tblLook w:val="04A0" w:firstRow="1" w:lastRow="0" w:firstColumn="1" w:lastColumn="0" w:noHBand="0" w:noVBand="1"/>
    </w:tblPr>
    <w:tblGrid>
      <w:gridCol w:w="9557"/>
      <w:gridCol w:w="195"/>
    </w:tblGrid>
    <w:tr w:rsidR="00F25E62" w14:paraId="59D38E4A" w14:textId="77777777">
      <w:tc>
        <w:tcPr>
          <w:tcW w:w="4900" w:type="pct"/>
          <w:tcBorders>
            <w:top w:val="nil"/>
            <w:left w:val="nil"/>
            <w:bottom w:val="nil"/>
            <w:right w:val="nil"/>
          </w:tcBorders>
          <w:shd w:val="clear" w:color="auto" w:fill="auto"/>
          <w:tcMar>
            <w:top w:w="0" w:type="dxa"/>
            <w:left w:w="0" w:type="dxa"/>
            <w:bottom w:w="0" w:type="dxa"/>
            <w:right w:w="0" w:type="dxa"/>
          </w:tcMar>
          <w:vAlign w:val="bottom"/>
        </w:tcPr>
        <w:tbl>
          <w:tblPr>
            <w:tblW w:w="5000" w:type="pct"/>
            <w:tblCellSpacing w:w="0" w:type="dxa"/>
            <w:tblBorders>
              <w:top w:val="nil"/>
              <w:left w:val="nil"/>
              <w:bottom w:val="nil"/>
              <w:right w:val="nil"/>
            </w:tblBorders>
            <w:tblLayout w:type="fixed"/>
            <w:tblCellMar>
              <w:left w:w="0" w:type="dxa"/>
              <w:right w:w="0" w:type="dxa"/>
            </w:tblCellMar>
            <w:tblLook w:val="04A0" w:firstRow="1" w:lastRow="0" w:firstColumn="1" w:lastColumn="0" w:noHBand="0" w:noVBand="1"/>
          </w:tblPr>
          <w:tblGrid>
            <w:gridCol w:w="35"/>
            <w:gridCol w:w="93"/>
            <w:gridCol w:w="1590"/>
            <w:gridCol w:w="35"/>
            <w:gridCol w:w="93"/>
            <w:gridCol w:w="1590"/>
            <w:gridCol w:w="35"/>
            <w:gridCol w:w="93"/>
            <w:gridCol w:w="2151"/>
            <w:gridCol w:w="35"/>
            <w:gridCol w:w="94"/>
            <w:gridCol w:w="1965"/>
            <w:gridCol w:w="35"/>
            <w:gridCol w:w="94"/>
            <w:gridCol w:w="1591"/>
            <w:gridCol w:w="20"/>
          </w:tblGrid>
          <w:tr w:rsidR="00F25E62" w14:paraId="33A180A6" w14:textId="77777777">
            <w:trPr>
              <w:tblCellSpacing w:w="0" w:type="dxa"/>
            </w:trPr>
            <w:tc>
              <w:tcPr>
                <w:tcW w:w="15" w:type="dxa"/>
                <w:tcBorders>
                  <w:left w:val="single" w:sz="6" w:space="0" w:color="000000"/>
                </w:tcBorders>
                <w:shd w:val="clear" w:color="auto" w:fill="FFFFFF"/>
                <w:vAlign w:val="center"/>
                <w:hideMark/>
              </w:tcPr>
              <w:p w14:paraId="6519295E" w14:textId="77777777" w:rsidR="00F25E62" w:rsidRDefault="00107F1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1154E3FA" w14:textId="77777777" w:rsidR="00F25E62" w:rsidRDefault="00107F10">
                <w:pPr>
                  <w:rPr>
                    <w:sz w:val="10"/>
                    <w:szCs w:val="10"/>
                  </w:rPr>
                </w:pPr>
                <w:r>
                  <w:rPr>
                    <w:sz w:val="10"/>
                    <w:szCs w:val="10"/>
                  </w:rPr>
                  <w:t> </w:t>
                </w:r>
              </w:p>
            </w:tc>
            <w:tc>
              <w:tcPr>
                <w:tcW w:w="850" w:type="pct"/>
                <w:vAlign w:val="center"/>
                <w:hideMark/>
              </w:tcPr>
              <w:p w14:paraId="00BAA5B9" w14:textId="77777777" w:rsidR="00F25E62" w:rsidRDefault="00107F10">
                <w:pPr>
                  <w:rPr>
                    <w:sz w:val="10"/>
                    <w:szCs w:val="10"/>
                  </w:rPr>
                </w:pPr>
                <w:r>
                  <w:rPr>
                    <w:b/>
                    <w:sz w:val="10"/>
                    <w:szCs w:val="10"/>
                  </w:rPr>
                  <w:t>TOTO Europe GmbH</w:t>
                </w:r>
                <w:r>
                  <w:rPr>
                    <w:b/>
                    <w:sz w:val="10"/>
                    <w:szCs w:val="10"/>
                  </w:rPr>
                  <w:br/>
                </w:r>
                <w:r>
                  <w:rPr>
                    <w:sz w:val="10"/>
                    <w:szCs w:val="10"/>
                  </w:rPr>
                  <w:t>Zollhof 2</w:t>
                </w:r>
                <w:r>
                  <w:rPr>
                    <w:sz w:val="10"/>
                    <w:szCs w:val="10"/>
                  </w:rPr>
                  <w:br/>
                  <w:t>40221 Düsseldorf</w:t>
                </w:r>
                <w:r>
                  <w:rPr>
                    <w:sz w:val="10"/>
                    <w:szCs w:val="10"/>
                  </w:rPr>
                  <w:br/>
                  <w:t>Germany</w:t>
                </w:r>
              </w:p>
            </w:tc>
            <w:tc>
              <w:tcPr>
                <w:tcW w:w="15" w:type="dxa"/>
                <w:tcBorders>
                  <w:left w:val="single" w:sz="6" w:space="0" w:color="000000"/>
                </w:tcBorders>
                <w:shd w:val="clear" w:color="auto" w:fill="FFFFFF"/>
                <w:vAlign w:val="center"/>
                <w:hideMark/>
              </w:tcPr>
              <w:p w14:paraId="13744AA7" w14:textId="77777777" w:rsidR="00F25E62" w:rsidRDefault="00107F1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6F60B518" w14:textId="77777777" w:rsidR="00F25E62" w:rsidRDefault="00107F10">
                <w:pPr>
                  <w:rPr>
                    <w:sz w:val="10"/>
                    <w:szCs w:val="10"/>
                  </w:rPr>
                </w:pPr>
                <w:r>
                  <w:rPr>
                    <w:sz w:val="10"/>
                    <w:szCs w:val="10"/>
                  </w:rPr>
                  <w:t> </w:t>
                </w:r>
              </w:p>
            </w:tc>
            <w:tc>
              <w:tcPr>
                <w:tcW w:w="850" w:type="pct"/>
                <w:vAlign w:val="center"/>
                <w:hideMark/>
              </w:tcPr>
              <w:p w14:paraId="6C10498C" w14:textId="77777777" w:rsidR="00F25E62" w:rsidRDefault="00107F10">
                <w:pPr>
                  <w:rPr>
                    <w:sz w:val="10"/>
                    <w:szCs w:val="10"/>
                  </w:rPr>
                </w:pPr>
                <w:r>
                  <w:rPr>
                    <w:sz w:val="10"/>
                    <w:szCs w:val="10"/>
                  </w:rPr>
                  <w:t>T +49 (0)211 2 73 08-200</w:t>
                </w:r>
                <w:r>
                  <w:rPr>
                    <w:sz w:val="10"/>
                    <w:szCs w:val="10"/>
                  </w:rPr>
                  <w:br/>
                  <w:t>F +49 (0)211 2 73 08-202</w:t>
                </w:r>
                <w:r>
                  <w:rPr>
                    <w:sz w:val="10"/>
                    <w:szCs w:val="10"/>
                  </w:rPr>
                  <w:br/>
                  <w:t>teu.info@toto.com</w:t>
                </w:r>
                <w:r>
                  <w:rPr>
                    <w:sz w:val="10"/>
                    <w:szCs w:val="10"/>
                  </w:rPr>
                  <w:br/>
                  <w:t>eu.toto.com</w:t>
                </w:r>
              </w:p>
            </w:tc>
            <w:tc>
              <w:tcPr>
                <w:tcW w:w="15" w:type="dxa"/>
                <w:tcBorders>
                  <w:left w:val="single" w:sz="6" w:space="0" w:color="000000"/>
                </w:tcBorders>
                <w:shd w:val="clear" w:color="auto" w:fill="FFFFFF"/>
                <w:vAlign w:val="center"/>
                <w:hideMark/>
              </w:tcPr>
              <w:p w14:paraId="47E270C7" w14:textId="77777777" w:rsidR="00F25E62" w:rsidRDefault="00107F1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550D51F1" w14:textId="77777777" w:rsidR="00F25E62" w:rsidRDefault="00107F10">
                <w:pPr>
                  <w:rPr>
                    <w:sz w:val="10"/>
                    <w:szCs w:val="10"/>
                  </w:rPr>
                </w:pPr>
                <w:r>
                  <w:rPr>
                    <w:sz w:val="10"/>
                    <w:szCs w:val="10"/>
                  </w:rPr>
                  <w:t> </w:t>
                </w:r>
              </w:p>
            </w:tc>
            <w:tc>
              <w:tcPr>
                <w:tcW w:w="1150" w:type="pct"/>
                <w:vAlign w:val="center"/>
                <w:hideMark/>
              </w:tcPr>
              <w:p w14:paraId="7B0D679C" w14:textId="77777777" w:rsidR="00F25E62" w:rsidRDefault="00107F10">
                <w:pPr>
                  <w:rPr>
                    <w:sz w:val="10"/>
                    <w:szCs w:val="10"/>
                  </w:rPr>
                </w:pPr>
                <w:r>
                  <w:rPr>
                    <w:sz w:val="10"/>
                    <w:szCs w:val="10"/>
                  </w:rPr>
                  <w:t>Commerzbank AG Essen</w:t>
                </w:r>
                <w:r>
                  <w:rPr>
                    <w:sz w:val="10"/>
                    <w:szCs w:val="10"/>
                  </w:rPr>
                  <w:br/>
                  <w:t>BLZ: 360 400 39 . KTO: 150 6211</w:t>
                </w:r>
                <w:r>
                  <w:rPr>
                    <w:sz w:val="10"/>
                    <w:szCs w:val="10"/>
                  </w:rPr>
                  <w:br/>
                  <w:t xml:space="preserve">IBAN: DE 32 36040039 </w:t>
                </w:r>
                <w:r>
                  <w:rPr>
                    <w:sz w:val="10"/>
                    <w:szCs w:val="10"/>
                  </w:rPr>
                  <w:t>0150621100</w:t>
                </w:r>
                <w:r>
                  <w:rPr>
                    <w:sz w:val="10"/>
                    <w:szCs w:val="10"/>
                  </w:rPr>
                  <w:br/>
                  <w:t>BIC: COBADEFF360</w:t>
                </w:r>
              </w:p>
            </w:tc>
            <w:tc>
              <w:tcPr>
                <w:tcW w:w="15" w:type="dxa"/>
                <w:tcBorders>
                  <w:left w:val="single" w:sz="6" w:space="0" w:color="000000"/>
                </w:tcBorders>
                <w:shd w:val="clear" w:color="auto" w:fill="FFFFFF"/>
                <w:vAlign w:val="center"/>
                <w:hideMark/>
              </w:tcPr>
              <w:p w14:paraId="4C4CBC70" w14:textId="77777777" w:rsidR="00F25E62" w:rsidRDefault="00107F1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36E5FCC4" w14:textId="77777777" w:rsidR="00F25E62" w:rsidRDefault="00107F10">
                <w:pPr>
                  <w:rPr>
                    <w:sz w:val="10"/>
                    <w:szCs w:val="10"/>
                  </w:rPr>
                </w:pPr>
                <w:r>
                  <w:rPr>
                    <w:sz w:val="10"/>
                    <w:szCs w:val="10"/>
                  </w:rPr>
                  <w:t> </w:t>
                </w:r>
              </w:p>
            </w:tc>
            <w:tc>
              <w:tcPr>
                <w:tcW w:w="1050" w:type="pct"/>
                <w:vAlign w:val="center"/>
                <w:hideMark/>
              </w:tcPr>
              <w:p w14:paraId="301EAA25" w14:textId="77777777" w:rsidR="00F25E62" w:rsidRDefault="00107F10">
                <w:pPr>
                  <w:rPr>
                    <w:sz w:val="10"/>
                    <w:szCs w:val="10"/>
                  </w:rPr>
                </w:pPr>
                <w:r>
                  <w:rPr>
                    <w:sz w:val="10"/>
                    <w:szCs w:val="10"/>
                  </w:rPr>
                  <w:t>AG Düsseldorf . HRB 24827</w:t>
                </w:r>
                <w:r>
                  <w:rPr>
                    <w:sz w:val="10"/>
                    <w:szCs w:val="10"/>
                  </w:rPr>
                  <w:br/>
                  <w:t>Managing Directors:</w:t>
                </w:r>
                <w:r>
                  <w:rPr>
                    <w:sz w:val="10"/>
                    <w:szCs w:val="10"/>
                  </w:rPr>
                  <w:br/>
                  <w:t>Shinya Tamura, Hiromoto Harano</w:t>
                </w:r>
                <w:r>
                  <w:rPr>
                    <w:sz w:val="10"/>
                    <w:szCs w:val="10"/>
                  </w:rPr>
                  <w:br/>
                  <w:t>  </w:t>
                </w:r>
              </w:p>
            </w:tc>
            <w:tc>
              <w:tcPr>
                <w:tcW w:w="15" w:type="dxa"/>
                <w:tcBorders>
                  <w:left w:val="single" w:sz="6" w:space="0" w:color="000000"/>
                </w:tcBorders>
                <w:shd w:val="clear" w:color="auto" w:fill="FFFFFF"/>
                <w:vAlign w:val="center"/>
                <w:hideMark/>
              </w:tcPr>
              <w:p w14:paraId="23721719" w14:textId="77777777" w:rsidR="00F25E62" w:rsidRDefault="00107F1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6AECE2C3" w14:textId="77777777" w:rsidR="00F25E62" w:rsidRDefault="00107F10">
                <w:pPr>
                  <w:rPr>
                    <w:sz w:val="10"/>
                    <w:szCs w:val="10"/>
                  </w:rPr>
                </w:pPr>
                <w:r>
                  <w:rPr>
                    <w:sz w:val="10"/>
                    <w:szCs w:val="10"/>
                  </w:rPr>
                  <w:t> </w:t>
                </w:r>
              </w:p>
            </w:tc>
            <w:tc>
              <w:tcPr>
                <w:tcW w:w="850" w:type="pct"/>
                <w:vAlign w:val="center"/>
                <w:hideMark/>
              </w:tcPr>
              <w:p w14:paraId="1CC43406" w14:textId="77777777" w:rsidR="00F25E62" w:rsidRDefault="00107F10">
                <w:pPr>
                  <w:rPr>
                    <w:sz w:val="10"/>
                    <w:szCs w:val="10"/>
                  </w:rPr>
                </w:pPr>
                <w:r>
                  <w:rPr>
                    <w:sz w:val="10"/>
                    <w:szCs w:val="10"/>
                  </w:rPr>
                  <w:t>WEEE-Reg.-Nr. DE 88787165</w:t>
                </w:r>
                <w:r>
                  <w:rPr>
                    <w:sz w:val="10"/>
                    <w:szCs w:val="10"/>
                  </w:rPr>
                  <w:br/>
                  <w:t>USTID-NR: DE258501442</w:t>
                </w:r>
                <w:r>
                  <w:rPr>
                    <w:sz w:val="10"/>
                    <w:szCs w:val="10"/>
                  </w:rPr>
                  <w:br/>
                  <w:t>ST-NR: 106/5727/1323</w:t>
                </w:r>
                <w:r>
                  <w:rPr>
                    <w:sz w:val="10"/>
                    <w:szCs w:val="10"/>
                  </w:rPr>
                  <w:br/>
                  <w:t>  </w:t>
                </w:r>
              </w:p>
            </w:tc>
            <w:tc>
              <w:tcPr>
                <w:tcW w:w="28" w:type="dxa"/>
                <w:vAlign w:val="center"/>
                <w:hideMark/>
              </w:tcPr>
              <w:p w14:paraId="2E0C9449" w14:textId="77777777" w:rsidR="00F25E62" w:rsidRDefault="00107F10">
                <w:pPr>
                  <w:rPr>
                    <w:sz w:val="10"/>
                    <w:szCs w:val="10"/>
                  </w:rPr>
                </w:pPr>
                <w:r>
                  <w:rPr>
                    <w:sz w:val="10"/>
                    <w:szCs w:val="10"/>
                  </w:rPr>
                  <w:t> </w:t>
                </w:r>
              </w:p>
            </w:tc>
          </w:tr>
        </w:tbl>
        <w:p w14:paraId="55D128C2" w14:textId="77777777" w:rsidR="00F25E62" w:rsidRDefault="00F25E62">
          <w:pPr>
            <w:rPr>
              <w:sz w:val="10"/>
              <w:szCs w:val="10"/>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14:paraId="54158D1E" w14:textId="77777777" w:rsidR="00F25E62" w:rsidRDefault="00107F10">
          <w:pPr>
            <w:rPr>
              <w:sz w:val="10"/>
              <w:szCs w:val="10"/>
            </w:rPr>
          </w:pPr>
          <w:r>
            <w:rPr>
              <w:sz w:val="10"/>
              <w:szCs w:val="10"/>
            </w:rPr>
            <w:fldChar w:fldCharType="begin"/>
          </w:r>
          <w:r>
            <w:rPr>
              <w:sz w:val="10"/>
              <w:szCs w:val="10"/>
            </w:rPr>
            <w:instrText>PAGE \* ARABIC</w:instrText>
          </w:r>
          <w:r>
            <w:rPr>
              <w:sz w:val="10"/>
              <w:szCs w:val="10"/>
            </w:rPr>
            <w:fldChar w:fldCharType="separate"/>
          </w:r>
          <w:r>
            <w:rPr>
              <w:sz w:val="10"/>
              <w:szCs w:val="10"/>
            </w:rPr>
            <w:t>#</w:t>
          </w:r>
          <w:r>
            <w:rPr>
              <w:sz w:val="10"/>
              <w:szCs w:val="10"/>
            </w:rPr>
            <w:fldChar w:fldCharType="end"/>
          </w:r>
        </w:p>
      </w:tc>
    </w:tr>
  </w:tbl>
  <w:p w14:paraId="24069748" w14:textId="77777777" w:rsidR="00F25E62" w:rsidRDefault="00F25E62">
    <w:pP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Einfach1"/>
      <w:tblW w:w="5000" w:type="pct"/>
      <w:tblLayout w:type="fixed"/>
      <w:tblCellMar>
        <w:left w:w="0" w:type="dxa"/>
        <w:right w:w="0" w:type="dxa"/>
      </w:tblCellMar>
      <w:tblLook w:val="04A0" w:firstRow="1" w:lastRow="0" w:firstColumn="1" w:lastColumn="0" w:noHBand="0" w:noVBand="1"/>
    </w:tblPr>
    <w:tblGrid>
      <w:gridCol w:w="9557"/>
      <w:gridCol w:w="195"/>
    </w:tblGrid>
    <w:tr w:rsidR="00F25E62" w14:paraId="53400BA8" w14:textId="77777777">
      <w:tc>
        <w:tcPr>
          <w:tcW w:w="4900" w:type="pct"/>
          <w:tcBorders>
            <w:top w:val="nil"/>
            <w:left w:val="nil"/>
            <w:bottom w:val="nil"/>
            <w:right w:val="nil"/>
          </w:tcBorders>
          <w:shd w:val="clear" w:color="auto" w:fill="auto"/>
          <w:tcMar>
            <w:top w:w="0" w:type="dxa"/>
            <w:left w:w="0" w:type="dxa"/>
            <w:bottom w:w="0" w:type="dxa"/>
            <w:right w:w="0" w:type="dxa"/>
          </w:tcMar>
          <w:vAlign w:val="bottom"/>
        </w:tcPr>
        <w:tbl>
          <w:tblPr>
            <w:tblW w:w="5000" w:type="pct"/>
            <w:tblCellSpacing w:w="0" w:type="dxa"/>
            <w:tblBorders>
              <w:top w:val="nil"/>
              <w:left w:val="nil"/>
              <w:bottom w:val="nil"/>
              <w:right w:val="nil"/>
            </w:tblBorders>
            <w:tblLayout w:type="fixed"/>
            <w:tblCellMar>
              <w:left w:w="0" w:type="dxa"/>
              <w:right w:w="0" w:type="dxa"/>
            </w:tblCellMar>
            <w:tblLook w:val="04A0" w:firstRow="1" w:lastRow="0" w:firstColumn="1" w:lastColumn="0" w:noHBand="0" w:noVBand="1"/>
          </w:tblPr>
          <w:tblGrid>
            <w:gridCol w:w="35"/>
            <w:gridCol w:w="93"/>
            <w:gridCol w:w="1590"/>
            <w:gridCol w:w="35"/>
            <w:gridCol w:w="93"/>
            <w:gridCol w:w="1590"/>
            <w:gridCol w:w="35"/>
            <w:gridCol w:w="93"/>
            <w:gridCol w:w="2151"/>
            <w:gridCol w:w="35"/>
            <w:gridCol w:w="94"/>
            <w:gridCol w:w="1965"/>
            <w:gridCol w:w="35"/>
            <w:gridCol w:w="94"/>
            <w:gridCol w:w="1591"/>
            <w:gridCol w:w="20"/>
          </w:tblGrid>
          <w:tr w:rsidR="00F25E62" w14:paraId="31629D3F" w14:textId="77777777">
            <w:trPr>
              <w:tblCellSpacing w:w="0" w:type="dxa"/>
            </w:trPr>
            <w:tc>
              <w:tcPr>
                <w:tcW w:w="15" w:type="dxa"/>
                <w:tcBorders>
                  <w:left w:val="single" w:sz="6" w:space="0" w:color="000000"/>
                </w:tcBorders>
                <w:shd w:val="clear" w:color="auto" w:fill="FFFFFF"/>
                <w:vAlign w:val="center"/>
                <w:hideMark/>
              </w:tcPr>
              <w:p w14:paraId="6E56A747" w14:textId="77777777" w:rsidR="00F25E62" w:rsidRDefault="00107F1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0D5C4C9A" w14:textId="77777777" w:rsidR="00F25E62" w:rsidRDefault="00107F10">
                <w:pPr>
                  <w:rPr>
                    <w:sz w:val="10"/>
                    <w:szCs w:val="10"/>
                  </w:rPr>
                </w:pPr>
                <w:r>
                  <w:rPr>
                    <w:sz w:val="10"/>
                    <w:szCs w:val="10"/>
                  </w:rPr>
                  <w:t> </w:t>
                </w:r>
              </w:p>
            </w:tc>
            <w:tc>
              <w:tcPr>
                <w:tcW w:w="850" w:type="pct"/>
                <w:vAlign w:val="center"/>
                <w:hideMark/>
              </w:tcPr>
              <w:p w14:paraId="28F36286" w14:textId="77777777" w:rsidR="00F25E62" w:rsidRDefault="00107F10">
                <w:pPr>
                  <w:rPr>
                    <w:sz w:val="10"/>
                    <w:szCs w:val="10"/>
                  </w:rPr>
                </w:pPr>
                <w:r>
                  <w:rPr>
                    <w:b/>
                    <w:sz w:val="10"/>
                    <w:szCs w:val="10"/>
                  </w:rPr>
                  <w:t>TOTO Europe GmbH</w:t>
                </w:r>
                <w:r>
                  <w:rPr>
                    <w:b/>
                    <w:sz w:val="10"/>
                    <w:szCs w:val="10"/>
                  </w:rPr>
                  <w:br/>
                </w:r>
                <w:r>
                  <w:rPr>
                    <w:sz w:val="10"/>
                    <w:szCs w:val="10"/>
                  </w:rPr>
                  <w:t>Zollhof 2</w:t>
                </w:r>
                <w:r>
                  <w:rPr>
                    <w:sz w:val="10"/>
                    <w:szCs w:val="10"/>
                  </w:rPr>
                  <w:br/>
                  <w:t>40221 Düsseldorf</w:t>
                </w:r>
                <w:r>
                  <w:rPr>
                    <w:sz w:val="10"/>
                    <w:szCs w:val="10"/>
                  </w:rPr>
                  <w:br/>
                  <w:t>Germany</w:t>
                </w:r>
              </w:p>
            </w:tc>
            <w:tc>
              <w:tcPr>
                <w:tcW w:w="15" w:type="dxa"/>
                <w:tcBorders>
                  <w:left w:val="single" w:sz="6" w:space="0" w:color="000000"/>
                </w:tcBorders>
                <w:shd w:val="clear" w:color="auto" w:fill="FFFFFF"/>
                <w:vAlign w:val="center"/>
                <w:hideMark/>
              </w:tcPr>
              <w:p w14:paraId="1C177976" w14:textId="77777777" w:rsidR="00F25E62" w:rsidRDefault="00107F1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4B9B61FB" w14:textId="77777777" w:rsidR="00F25E62" w:rsidRDefault="00107F10">
                <w:pPr>
                  <w:rPr>
                    <w:sz w:val="10"/>
                    <w:szCs w:val="10"/>
                  </w:rPr>
                </w:pPr>
                <w:r>
                  <w:rPr>
                    <w:sz w:val="10"/>
                    <w:szCs w:val="10"/>
                  </w:rPr>
                  <w:t> </w:t>
                </w:r>
              </w:p>
            </w:tc>
            <w:tc>
              <w:tcPr>
                <w:tcW w:w="850" w:type="pct"/>
                <w:vAlign w:val="center"/>
                <w:hideMark/>
              </w:tcPr>
              <w:p w14:paraId="230ACA47" w14:textId="77777777" w:rsidR="00F25E62" w:rsidRDefault="00107F10">
                <w:pPr>
                  <w:rPr>
                    <w:sz w:val="10"/>
                    <w:szCs w:val="10"/>
                  </w:rPr>
                </w:pPr>
                <w:r>
                  <w:rPr>
                    <w:sz w:val="10"/>
                    <w:szCs w:val="10"/>
                  </w:rPr>
                  <w:t xml:space="preserve">T +49 </w:t>
                </w:r>
                <w:r>
                  <w:rPr>
                    <w:sz w:val="10"/>
                    <w:szCs w:val="10"/>
                  </w:rPr>
                  <w:t>(0)211 2 73 08-200</w:t>
                </w:r>
                <w:r>
                  <w:rPr>
                    <w:sz w:val="10"/>
                    <w:szCs w:val="10"/>
                  </w:rPr>
                  <w:br/>
                  <w:t>F +49 (0)211 2 73 08-202</w:t>
                </w:r>
                <w:r>
                  <w:rPr>
                    <w:sz w:val="10"/>
                    <w:szCs w:val="10"/>
                  </w:rPr>
                  <w:br/>
                  <w:t>teu.info@toto.com</w:t>
                </w:r>
                <w:r>
                  <w:rPr>
                    <w:sz w:val="10"/>
                    <w:szCs w:val="10"/>
                  </w:rPr>
                  <w:br/>
                  <w:t>eu.toto.com</w:t>
                </w:r>
              </w:p>
            </w:tc>
            <w:tc>
              <w:tcPr>
                <w:tcW w:w="15" w:type="dxa"/>
                <w:tcBorders>
                  <w:left w:val="single" w:sz="6" w:space="0" w:color="000000"/>
                </w:tcBorders>
                <w:shd w:val="clear" w:color="auto" w:fill="FFFFFF"/>
                <w:vAlign w:val="center"/>
                <w:hideMark/>
              </w:tcPr>
              <w:p w14:paraId="6FFED570" w14:textId="77777777" w:rsidR="00F25E62" w:rsidRDefault="00107F1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1E4F2D1D" w14:textId="77777777" w:rsidR="00F25E62" w:rsidRDefault="00107F10">
                <w:pPr>
                  <w:rPr>
                    <w:sz w:val="10"/>
                    <w:szCs w:val="10"/>
                  </w:rPr>
                </w:pPr>
                <w:r>
                  <w:rPr>
                    <w:sz w:val="10"/>
                    <w:szCs w:val="10"/>
                  </w:rPr>
                  <w:t> </w:t>
                </w:r>
              </w:p>
            </w:tc>
            <w:tc>
              <w:tcPr>
                <w:tcW w:w="1150" w:type="pct"/>
                <w:vAlign w:val="center"/>
                <w:hideMark/>
              </w:tcPr>
              <w:p w14:paraId="5E827C16" w14:textId="77777777" w:rsidR="00F25E62" w:rsidRDefault="00107F10">
                <w:pPr>
                  <w:rPr>
                    <w:sz w:val="10"/>
                    <w:szCs w:val="10"/>
                  </w:rPr>
                </w:pPr>
                <w:r>
                  <w:rPr>
                    <w:sz w:val="10"/>
                    <w:szCs w:val="10"/>
                  </w:rPr>
                  <w:t>Commerzbank AG Essen</w:t>
                </w:r>
                <w:r>
                  <w:rPr>
                    <w:sz w:val="10"/>
                    <w:szCs w:val="10"/>
                  </w:rPr>
                  <w:br/>
                  <w:t>BLZ: 360 400 39 . KTO: 150 6211</w:t>
                </w:r>
                <w:r>
                  <w:rPr>
                    <w:sz w:val="10"/>
                    <w:szCs w:val="10"/>
                  </w:rPr>
                  <w:br/>
                  <w:t>IBAN: DE 32 36040039 0150621100</w:t>
                </w:r>
                <w:r>
                  <w:rPr>
                    <w:sz w:val="10"/>
                    <w:szCs w:val="10"/>
                  </w:rPr>
                  <w:br/>
                  <w:t>BIC: COBADEFF360</w:t>
                </w:r>
              </w:p>
            </w:tc>
            <w:tc>
              <w:tcPr>
                <w:tcW w:w="15" w:type="dxa"/>
                <w:tcBorders>
                  <w:left w:val="single" w:sz="6" w:space="0" w:color="000000"/>
                </w:tcBorders>
                <w:shd w:val="clear" w:color="auto" w:fill="FFFFFF"/>
                <w:vAlign w:val="center"/>
                <w:hideMark/>
              </w:tcPr>
              <w:p w14:paraId="4EDF4DEE" w14:textId="77777777" w:rsidR="00F25E62" w:rsidRDefault="00107F1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67BD798D" w14:textId="77777777" w:rsidR="00F25E62" w:rsidRDefault="00107F10">
                <w:pPr>
                  <w:rPr>
                    <w:sz w:val="10"/>
                    <w:szCs w:val="10"/>
                  </w:rPr>
                </w:pPr>
                <w:r>
                  <w:rPr>
                    <w:sz w:val="10"/>
                    <w:szCs w:val="10"/>
                  </w:rPr>
                  <w:t> </w:t>
                </w:r>
              </w:p>
            </w:tc>
            <w:tc>
              <w:tcPr>
                <w:tcW w:w="1050" w:type="pct"/>
                <w:vAlign w:val="center"/>
                <w:hideMark/>
              </w:tcPr>
              <w:p w14:paraId="6AED0B1C" w14:textId="77777777" w:rsidR="00F25E62" w:rsidRDefault="00107F10">
                <w:pPr>
                  <w:rPr>
                    <w:sz w:val="10"/>
                    <w:szCs w:val="10"/>
                  </w:rPr>
                </w:pPr>
                <w:r>
                  <w:rPr>
                    <w:sz w:val="10"/>
                    <w:szCs w:val="10"/>
                  </w:rPr>
                  <w:t>AG Düsseldorf . HRB 24827</w:t>
                </w:r>
                <w:r>
                  <w:rPr>
                    <w:sz w:val="10"/>
                    <w:szCs w:val="10"/>
                  </w:rPr>
                  <w:br/>
                  <w:t>Managing Directors:</w:t>
                </w:r>
                <w:r>
                  <w:rPr>
                    <w:sz w:val="10"/>
                    <w:szCs w:val="10"/>
                  </w:rPr>
                  <w:br/>
                  <w:t>Shinya Tamura, Hiromoto Harano</w:t>
                </w:r>
                <w:r>
                  <w:rPr>
                    <w:sz w:val="10"/>
                    <w:szCs w:val="10"/>
                  </w:rPr>
                  <w:br/>
                  <w:t>  </w:t>
                </w:r>
              </w:p>
            </w:tc>
            <w:tc>
              <w:tcPr>
                <w:tcW w:w="15" w:type="dxa"/>
                <w:tcBorders>
                  <w:left w:val="single" w:sz="6" w:space="0" w:color="000000"/>
                </w:tcBorders>
                <w:shd w:val="clear" w:color="auto" w:fill="FFFFFF"/>
                <w:vAlign w:val="center"/>
                <w:hideMark/>
              </w:tcPr>
              <w:p w14:paraId="22D018CD" w14:textId="77777777" w:rsidR="00F25E62" w:rsidRDefault="00107F1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24542C0B" w14:textId="77777777" w:rsidR="00F25E62" w:rsidRDefault="00107F10">
                <w:pPr>
                  <w:rPr>
                    <w:sz w:val="10"/>
                    <w:szCs w:val="10"/>
                  </w:rPr>
                </w:pPr>
                <w:r>
                  <w:rPr>
                    <w:sz w:val="10"/>
                    <w:szCs w:val="10"/>
                  </w:rPr>
                  <w:t> </w:t>
                </w:r>
              </w:p>
            </w:tc>
            <w:tc>
              <w:tcPr>
                <w:tcW w:w="850" w:type="pct"/>
                <w:vAlign w:val="center"/>
                <w:hideMark/>
              </w:tcPr>
              <w:p w14:paraId="4C2A64FB" w14:textId="77777777" w:rsidR="00F25E62" w:rsidRDefault="00107F10">
                <w:pPr>
                  <w:rPr>
                    <w:sz w:val="10"/>
                    <w:szCs w:val="10"/>
                  </w:rPr>
                </w:pPr>
                <w:r>
                  <w:rPr>
                    <w:sz w:val="10"/>
                    <w:szCs w:val="10"/>
                  </w:rPr>
                  <w:t>WEEE-Reg.-Nr. DE 88787165</w:t>
                </w:r>
                <w:r>
                  <w:rPr>
                    <w:sz w:val="10"/>
                    <w:szCs w:val="10"/>
                  </w:rPr>
                  <w:br/>
                  <w:t>USTID-NR: DE258501442</w:t>
                </w:r>
                <w:r>
                  <w:rPr>
                    <w:sz w:val="10"/>
                    <w:szCs w:val="10"/>
                  </w:rPr>
                  <w:br/>
                  <w:t>ST-NR: 106/5727/1323</w:t>
                </w:r>
                <w:r>
                  <w:rPr>
                    <w:sz w:val="10"/>
                    <w:szCs w:val="10"/>
                  </w:rPr>
                  <w:br/>
                  <w:t>  </w:t>
                </w:r>
              </w:p>
            </w:tc>
            <w:tc>
              <w:tcPr>
                <w:tcW w:w="28" w:type="dxa"/>
                <w:vAlign w:val="center"/>
                <w:hideMark/>
              </w:tcPr>
              <w:p w14:paraId="1170D9DD" w14:textId="77777777" w:rsidR="00F25E62" w:rsidRDefault="00107F10">
                <w:pPr>
                  <w:rPr>
                    <w:sz w:val="10"/>
                    <w:szCs w:val="10"/>
                  </w:rPr>
                </w:pPr>
                <w:r>
                  <w:rPr>
                    <w:sz w:val="10"/>
                    <w:szCs w:val="10"/>
                  </w:rPr>
                  <w:t> </w:t>
                </w:r>
              </w:p>
            </w:tc>
          </w:tr>
        </w:tbl>
        <w:p w14:paraId="2F3748F0" w14:textId="77777777" w:rsidR="00F25E62" w:rsidRDefault="00F25E62">
          <w:pPr>
            <w:rPr>
              <w:sz w:val="10"/>
              <w:szCs w:val="10"/>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14:paraId="76F5EADD" w14:textId="77777777" w:rsidR="00F25E62" w:rsidRDefault="00F25E62">
          <w:pPr>
            <w:rPr>
              <w:sz w:val="10"/>
              <w:szCs w:val="10"/>
            </w:rPr>
          </w:pPr>
        </w:p>
      </w:tc>
    </w:tr>
  </w:tbl>
  <w:p w14:paraId="5B0C111C" w14:textId="77777777" w:rsidR="00F25E62" w:rsidRDefault="00F25E62">
    <w:pP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1F937B" w14:textId="77777777" w:rsidR="00107F10" w:rsidRDefault="00107F10">
      <w:pPr>
        <w:spacing w:line="240" w:lineRule="auto"/>
      </w:pPr>
      <w:r>
        <w:separator/>
      </w:r>
    </w:p>
  </w:footnote>
  <w:footnote w:type="continuationSeparator" w:id="0">
    <w:p w14:paraId="3A7EF6D2" w14:textId="77777777" w:rsidR="00107F10" w:rsidRDefault="00107F1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8B4A84" w14:textId="77777777" w:rsidR="00F25E62" w:rsidRDefault="00107F10">
    <w:r>
      <w:rPr>
        <w:noProof/>
      </w:rPr>
      <w:drawing>
        <wp:anchor distT="0" distB="0" distL="114300" distR="114300" simplePos="0" relativeHeight="251659264" behindDoc="0" locked="0" layoutInCell="0" allowOverlap="0" wp14:anchorId="3B838F72" wp14:editId="4122E3FA">
          <wp:simplePos x="0" y="0"/>
          <wp:positionH relativeFrom="page">
            <wp:posOffset>5723890</wp:posOffset>
          </wp:positionH>
          <wp:positionV relativeFrom="page">
            <wp:posOffset>396240</wp:posOffset>
          </wp:positionV>
          <wp:extent cx="1368425" cy="31813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r:embed="rId1"/>
                  <a:srcRect/>
                  <a:stretch>
                    <a:fillRect/>
                  </a:stretch>
                </pic:blipFill>
                <pic:spPr>
                  <a:xfrm>
                    <a:off x="0" y="0"/>
                    <a:ext cx="1368425" cy="318135"/>
                  </a:xfrm>
                  <a:prstGeom prst="rect">
                    <a:avLst/>
                  </a:prstGeom>
                </pic:spPr>
              </pic:pic>
            </a:graphicData>
          </a:graphic>
        </wp:anchor>
      </w:drawing>
    </w:r>
    <w:r>
      <w:rPr>
        <w:rFonts w:eastAsia="Arial"/>
        <w:b/>
        <w:sz w:val="24"/>
        <w:szCs w:val="24"/>
      </w:rPr>
      <w:t>Press Information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B52F7" w14:textId="77777777" w:rsidR="00F25E62" w:rsidRDefault="00107F10">
    <w:pPr>
      <w:rPr>
        <w:color w:val="343434"/>
      </w:rPr>
    </w:pPr>
    <w:r>
      <w:rPr>
        <w:noProof/>
        <w:color w:val="343434"/>
      </w:rPr>
      <w:drawing>
        <wp:anchor distT="0" distB="0" distL="114300" distR="114300" simplePos="0" relativeHeight="251658240" behindDoc="0" locked="0" layoutInCell="0" allowOverlap="0" wp14:anchorId="7290C64F" wp14:editId="3714B265">
          <wp:simplePos x="0" y="0"/>
          <wp:positionH relativeFrom="page">
            <wp:posOffset>5544185</wp:posOffset>
          </wp:positionH>
          <wp:positionV relativeFrom="page">
            <wp:posOffset>396240</wp:posOffset>
          </wp:positionV>
          <wp:extent cx="1368425" cy="31813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r:embed="rId1"/>
                  <a:srcRect/>
                  <a:stretch>
                    <a:fillRect/>
                  </a:stretch>
                </pic:blipFill>
                <pic:spPr>
                  <a:xfrm>
                    <a:off x="0" y="0"/>
                    <a:ext cx="1368425" cy="318135"/>
                  </a:xfrm>
                  <a:prstGeom prst="rect">
                    <a:avLst/>
                  </a:prstGeom>
                </pic:spPr>
              </pic:pic>
            </a:graphicData>
          </a:graphic>
        </wp:anchor>
      </w:drawing>
    </w:r>
    <w:r>
      <w:rPr>
        <w:rFonts w:eastAsia="Arial"/>
        <w:b/>
        <w:color w:val="343434"/>
        <w:sz w:val="24"/>
        <w:szCs w:val="24"/>
      </w:rPr>
      <w:t>Press Information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716D68F"/>
    <w:multiLevelType w:val="hybridMultilevel"/>
    <w:tmpl w:val="DFEE4784"/>
    <w:lvl w:ilvl="0" w:tplc="25127E06">
      <w:start w:val="1"/>
      <w:numFmt w:val="bullet"/>
      <w:lvlText w:val="·"/>
      <w:lvlJc w:val="left"/>
      <w:pPr>
        <w:ind w:left="720" w:hanging="360"/>
      </w:pPr>
      <w:rPr>
        <w:rFonts w:ascii="Symbol" w:eastAsia="Symbol" w:hAnsi="Symbol" w:cs="Symbol"/>
      </w:rPr>
    </w:lvl>
    <w:lvl w:ilvl="1" w:tplc="19C1AA92">
      <w:start w:val="1"/>
      <w:numFmt w:val="bullet"/>
      <w:lvlText w:val="o"/>
      <w:lvlJc w:val="left"/>
      <w:pPr>
        <w:ind w:left="1440" w:hanging="360"/>
      </w:pPr>
      <w:rPr>
        <w:rFonts w:ascii="Symbol" w:hAnsi="Symbol"/>
      </w:rPr>
    </w:lvl>
    <w:lvl w:ilvl="2" w:tplc="14CF00EC">
      <w:start w:val="1"/>
      <w:numFmt w:val="bullet"/>
      <w:lvlText w:val="·"/>
      <w:lvlJc w:val="left"/>
      <w:pPr>
        <w:ind w:left="2160" w:hanging="360"/>
      </w:pPr>
      <w:rPr>
        <w:rFonts w:ascii="Symbol" w:hAnsi="Symbol"/>
      </w:rPr>
    </w:lvl>
    <w:lvl w:ilvl="3" w:tplc="6472A914">
      <w:start w:val="1"/>
      <w:numFmt w:val="bullet"/>
      <w:lvlText w:val="o"/>
      <w:lvlJc w:val="left"/>
      <w:pPr>
        <w:ind w:left="2880" w:hanging="360"/>
      </w:pPr>
      <w:rPr>
        <w:rFonts w:ascii="Symbol" w:hAnsi="Symbol"/>
      </w:rPr>
    </w:lvl>
    <w:lvl w:ilvl="4" w:tplc="60FB60E6">
      <w:start w:val="1"/>
      <w:numFmt w:val="bullet"/>
      <w:lvlText w:val="·"/>
      <w:lvlJc w:val="left"/>
      <w:pPr>
        <w:ind w:left="3600" w:hanging="360"/>
      </w:pPr>
      <w:rPr>
        <w:rFonts w:ascii="Symbol" w:hAnsi="Symbol"/>
      </w:rPr>
    </w:lvl>
    <w:lvl w:ilvl="5" w:tplc="02310E34">
      <w:start w:val="1"/>
      <w:numFmt w:val="bullet"/>
      <w:lvlText w:val="o"/>
      <w:lvlJc w:val="left"/>
      <w:pPr>
        <w:ind w:left="4320" w:hanging="360"/>
      </w:pPr>
      <w:rPr>
        <w:rFonts w:ascii="Symbol" w:hAnsi="Symbol"/>
      </w:rPr>
    </w:lvl>
    <w:lvl w:ilvl="6" w:tplc="1E6843AE">
      <w:start w:val="1"/>
      <w:numFmt w:val="bullet"/>
      <w:lvlText w:val="·"/>
      <w:lvlJc w:val="left"/>
      <w:pPr>
        <w:ind w:left="5040" w:hanging="360"/>
      </w:pPr>
      <w:rPr>
        <w:rFonts w:ascii="Symbol" w:hAnsi="Symbol"/>
      </w:rPr>
    </w:lvl>
    <w:lvl w:ilvl="7" w:tplc="7C2CA67D">
      <w:start w:val="1"/>
      <w:numFmt w:val="bullet"/>
      <w:lvlText w:val="o"/>
      <w:lvlJc w:val="left"/>
      <w:pPr>
        <w:ind w:left="5760" w:hanging="360"/>
      </w:pPr>
      <w:rPr>
        <w:rFonts w:ascii="Symbol" w:hAnsi="Symbol"/>
      </w:rPr>
    </w:lvl>
    <w:lvl w:ilvl="8" w:tplc="1C05BA56">
      <w:start w:val="1"/>
      <w:numFmt w:val="bullet"/>
      <w:lvlText w:val="·"/>
      <w:lvlJc w:val="left"/>
      <w:pPr>
        <w:ind w:left="6480" w:hanging="360"/>
      </w:pPr>
      <w:rPr>
        <w:rFonts w:ascii="Symbol" w:hAnsi="Symbol"/>
      </w:rPr>
    </w:lvl>
  </w:abstractNum>
  <w:num w:numId="1" w16cid:durableId="1046614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compressPunctuation"/>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5E62"/>
    <w:rsid w:val="00107F10"/>
    <w:rsid w:val="00F25E6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EA8640"/>
  <w15:docId w15:val="{E2021628-925E-46F2-8E23-6B1DF76602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EastAsia" w:hAnsi="Arial" w:cs="Arial"/>
        <w:color w:val="000000"/>
        <w:sz w:val="22"/>
        <w:szCs w:val="22"/>
        <w:lang w:val="de-DE" w:eastAsia="de-DE"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Zeilennummer">
    <w:name w:val="line number"/>
    <w:basedOn w:val="Absatz-Standardschriftart"/>
    <w:semiHidden/>
  </w:style>
  <w:style w:type="character" w:styleId="Hyperlink">
    <w:name w:val="Hyperlink"/>
    <w:rPr>
      <w:color w:val="0000FF"/>
      <w:u w:val="single"/>
    </w:rPr>
  </w:style>
  <w:style w:type="table" w:styleId="TabelleEinfach1">
    <w:name w:val="Table Simple 1"/>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pressrelease.bering-kopal.de/de/pressrelease/toto-europe_the-tokyo-toilet-project-update-2021-6cd9e6b6-635f-47e7-a1a8-38cfc58638d8" TargetMode="External"/><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hyperlink" Target="https://sciencebasedtargets.org/about-us" TargetMode="External"/><Relationship Id="rId7" Type="http://schemas.openxmlformats.org/officeDocument/2006/relationships/image" Target="media/image1.jpg"/><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6.jpg"/><Relationship Id="rId20" Type="http://schemas.openxmlformats.org/officeDocument/2006/relationships/image" Target="media/image10.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u.toto.com/de" TargetMode="External"/><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header" Target="header1.xml"/><Relationship Id="rId28" Type="http://schemas.openxmlformats.org/officeDocument/2006/relationships/theme" Target="theme/theme1.xml"/><Relationship Id="rId10" Type="http://schemas.openxmlformats.org/officeDocument/2006/relationships/hyperlink" Target="https://tokyotoilet.jp/en/" TargetMode="External"/><Relationship Id="rId19" Type="http://schemas.openxmlformats.org/officeDocument/2006/relationships/image" Target="media/image9.jpg"/><Relationship Id="rId4" Type="http://schemas.openxmlformats.org/officeDocument/2006/relationships/webSettings" Target="webSettings.xml"/><Relationship Id="rId9" Type="http://schemas.openxmlformats.org/officeDocument/2006/relationships/hyperlink" Target="https://pressrelease.bering-kopal.de/de/pressrelease/toto-europe_the-tokyo-toilet-1a63b331-8a95-46a0-9fc3-abe19ced7974" TargetMode="External"/><Relationship Id="rId14" Type="http://schemas.openxmlformats.org/officeDocument/2006/relationships/image" Target="media/image4.jpg"/><Relationship Id="rId22" Type="http://schemas.openxmlformats.org/officeDocument/2006/relationships/hyperlink" Target="https://pressrelease.bering-kopal.de/cms/de.toto.com" TargetMode="Externa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1.jpg"/></Relationships>
</file>

<file path=word/_rels/header2.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1197</Words>
  <Characters>7548</Characters>
  <Application>Microsoft Office Word</Application>
  <DocSecurity>0</DocSecurity>
  <Lines>62</Lines>
  <Paragraphs>17</Paragraphs>
  <ScaleCrop>false</ScaleCrop>
  <Company/>
  <LinksUpToDate>false</LinksUpToDate>
  <CharactersWithSpaces>8728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Kopal</dc:creator>
  <cp:lastModifiedBy>Thomas Kopal</cp:lastModifiedBy>
  <cp:revision>2</cp:revision>
  <dcterms:created xsi:type="dcterms:W3CDTF">2023-11-06T09:43:00Z</dcterms:created>
  <dcterms:modified xsi:type="dcterms:W3CDTF">2023-11-06T09:43:00Z</dcterms:modified>
</cp:coreProperties>
</file>