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27BD0" w:rsidRDefault="00000000">
      <w:pPr>
        <w:rPr>
          <w:b/>
          <w:bCs/>
          <w:sz w:val="32"/>
          <w:szCs w:val="32"/>
        </w:rPr>
      </w:pPr>
      <w:r>
        <w:rPr>
          <w:b/>
          <w:bCs/>
          <w:sz w:val="32"/>
          <w:szCs w:val="32"/>
        </w:rPr>
        <w:t>Weltklasseevents. Weltklassetoiletten.</w:t>
      </w:r>
    </w:p>
    <w:tbl>
      <w:tblPr>
        <w:tblStyle w:val="TabelleEinfach1"/>
        <w:tblW w:w="5000" w:type="pct"/>
        <w:tblLayout w:type="fixed"/>
        <w:tblCellMar>
          <w:left w:w="0" w:type="dxa"/>
          <w:right w:w="227" w:type="dxa"/>
        </w:tblCellMar>
        <w:tblLook w:val="04A0" w:firstRow="1" w:lastRow="0" w:firstColumn="1" w:lastColumn="0" w:noHBand="0" w:noVBand="1"/>
      </w:tblPr>
      <w:tblGrid>
        <w:gridCol w:w="3792"/>
        <w:gridCol w:w="3792"/>
        <w:gridCol w:w="2395"/>
      </w:tblGrid>
      <w:tr w:rsidR="00C27BD0">
        <w:tc>
          <w:tcPr>
            <w:tcW w:w="3800" w:type="pct"/>
            <w:gridSpan w:val="2"/>
            <w:tcBorders>
              <w:top w:val="nil"/>
              <w:left w:val="nil"/>
              <w:bottom w:val="nil"/>
              <w:right w:val="nil"/>
            </w:tcBorders>
            <w:shd w:val="clear" w:color="auto" w:fill="auto"/>
            <w:tcMar>
              <w:top w:w="0" w:type="dxa"/>
              <w:left w:w="0" w:type="dxa"/>
              <w:bottom w:w="0" w:type="dxa"/>
              <w:right w:w="227" w:type="dxa"/>
            </w:tcMar>
          </w:tcPr>
          <w:p w:rsidR="00C27BD0" w:rsidRDefault="00000000">
            <w:r>
              <w:rPr>
                <w:rFonts w:eastAsia="Arial"/>
              </w:rPr>
              <w:t>Wo Spitzenleistungen gefeiert und Gäste auf höchstem Niveau empfangen werden, zählt jedes Detail. Mit TOTO WASHLETs werden mobile VIP-Sanitärcontainer zu komfortablen Bädern auf Zeit.</w:t>
            </w:r>
          </w:p>
        </w:tc>
        <w:tc>
          <w:tcPr>
            <w:tcW w:w="1200" w:type="pct"/>
            <w:tcBorders>
              <w:top w:val="nil"/>
              <w:left w:val="nil"/>
              <w:bottom w:val="nil"/>
              <w:right w:val="nil"/>
            </w:tcBorders>
            <w:shd w:val="clear" w:color="auto" w:fill="auto"/>
            <w:tcMar>
              <w:top w:w="0" w:type="dxa"/>
              <w:left w:w="0" w:type="dxa"/>
              <w:bottom w:w="0" w:type="dxa"/>
              <w:right w:w="227" w:type="dxa"/>
            </w:tcMar>
          </w:tcPr>
          <w:p w:rsidR="00C27BD0" w:rsidRDefault="00C27BD0"/>
        </w:tc>
      </w:tr>
      <w:tr w:rsidR="00C27BD0">
        <w:trPr>
          <w:gridAfter w:val="1"/>
          <w:wAfter w:w="1728" w:type="dxa"/>
        </w:trPr>
        <w:tc>
          <w:tcPr>
            <w:tcW w:w="2736" w:type="dxa"/>
            <w:tcBorders>
              <w:top w:val="nil"/>
              <w:left w:val="nil"/>
              <w:bottom w:val="nil"/>
              <w:right w:val="nil"/>
            </w:tcBorders>
            <w:shd w:val="clear" w:color="auto" w:fill="auto"/>
            <w:tcMar>
              <w:top w:w="0" w:type="dxa"/>
              <w:left w:w="0" w:type="dxa"/>
              <w:bottom w:w="0" w:type="dxa"/>
              <w:right w:w="227" w:type="dxa"/>
            </w:tcMar>
          </w:tcPr>
          <w:p w:rsidR="00C27BD0" w:rsidRDefault="00C27BD0"/>
        </w:tc>
        <w:tc>
          <w:tcPr>
            <w:tcW w:w="2736" w:type="dxa"/>
            <w:tcBorders>
              <w:top w:val="nil"/>
              <w:left w:val="nil"/>
              <w:bottom w:val="nil"/>
              <w:right w:val="nil"/>
            </w:tcBorders>
            <w:shd w:val="clear" w:color="auto" w:fill="auto"/>
            <w:tcMar>
              <w:top w:w="0" w:type="dxa"/>
              <w:left w:w="0" w:type="dxa"/>
              <w:bottom w:w="0" w:type="dxa"/>
              <w:right w:w="227" w:type="dxa"/>
            </w:tcMar>
          </w:tcPr>
          <w:p w:rsidR="00C27BD0" w:rsidRDefault="00C27BD0"/>
        </w:tc>
      </w:tr>
    </w:tbl>
    <w:p w:rsidR="00C27BD0" w:rsidRDefault="00000000">
      <w:pPr>
        <w:rPr>
          <w:sz w:val="8"/>
          <w:szCs w:val="8"/>
        </w:rPr>
      </w:pPr>
      <w:r>
        <w:rPr>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979"/>
      </w:tblGrid>
      <w:tr w:rsidR="00C27BD0">
        <w:trPr>
          <w:jc w:val="center"/>
        </w:trPr>
        <w:tc>
          <w:tcPr>
            <w:tcW w:w="5000" w:type="pct"/>
            <w:tcBorders>
              <w:top w:val="nil"/>
              <w:left w:val="nil"/>
              <w:bottom w:val="nil"/>
              <w:right w:val="nil"/>
            </w:tcBorders>
            <w:shd w:val="clear" w:color="auto" w:fill="auto"/>
            <w:tcMar>
              <w:top w:w="0" w:type="dxa"/>
              <w:left w:w="0" w:type="dxa"/>
              <w:bottom w:w="0" w:type="dxa"/>
              <w:right w:w="227" w:type="dxa"/>
            </w:tcMar>
          </w:tcPr>
          <w:p w:rsidR="00C27BD0" w:rsidRDefault="00000000">
            <w:pPr>
              <w:rPr>
                <w:sz w:val="18"/>
                <w:szCs w:val="18"/>
              </w:rPr>
            </w:pPr>
            <w:r>
              <w:rPr>
                <w:noProof/>
                <w:sz w:val="18"/>
                <w:szCs w:val="18"/>
              </w:rPr>
              <w:drawing>
                <wp:inline distT="0" distB="0" distL="0" distR="0">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6" cstate="print">
                            <a:extLst>
                              <a:ext uri="{28A0092B-C50C-407E-A947-70E740481C1C}">
                                <a14:useLocalDpi xmlns:a14="http://schemas.microsoft.com/office/drawing/2010/main"/>
                              </a:ext>
                            </a:extLst>
                          </a:blip>
                          <a:srcRect/>
                          <a:stretch>
                            <a:fillRect/>
                          </a:stretch>
                        </pic:blipFill>
                        <pic:spPr>
                          <a:xfrm>
                            <a:off x="0" y="0"/>
                            <a:ext cx="3995420" cy="2663825"/>
                          </a:xfrm>
                          <a:prstGeom prst="rect">
                            <a:avLst/>
                          </a:prstGeom>
                        </pic:spPr>
                      </pic:pic>
                    </a:graphicData>
                  </a:graphic>
                </wp:inline>
              </w:drawing>
            </w:r>
          </w:p>
        </w:tc>
      </w:tr>
    </w:tbl>
    <w:p w:rsidR="008B796E" w:rsidRDefault="008B796E">
      <w:pPr>
        <w:rPr>
          <w:sz w:val="8"/>
          <w:szCs w:val="8"/>
        </w:rPr>
      </w:pPr>
    </w:p>
    <w:p w:rsidR="00054D93" w:rsidRDefault="00054D93">
      <w:pPr>
        <w:rPr>
          <w:sz w:val="8"/>
          <w:szCs w:val="8"/>
        </w:rPr>
      </w:pPr>
    </w:p>
    <w:p w:rsidR="0091722E" w:rsidRDefault="0091722E">
      <w:pPr>
        <w:rPr>
          <w:sz w:val="8"/>
          <w:szCs w:val="8"/>
        </w:rPr>
      </w:pPr>
    </w:p>
    <w:tbl>
      <w:tblPr>
        <w:tblStyle w:val="TabelleEinfach1"/>
        <w:tblW w:w="5000" w:type="pct"/>
        <w:tblLayout w:type="fixed"/>
        <w:tblCellMar>
          <w:left w:w="0" w:type="dxa"/>
          <w:right w:w="227" w:type="dxa"/>
        </w:tblCellMar>
        <w:tblLook w:val="04A0" w:firstRow="1" w:lastRow="0" w:firstColumn="1" w:lastColumn="0" w:noHBand="0" w:noVBand="1"/>
      </w:tblPr>
      <w:tblGrid>
        <w:gridCol w:w="7584"/>
        <w:gridCol w:w="2395"/>
      </w:tblGrid>
      <w:tr w:rsidR="00C27BD0">
        <w:tc>
          <w:tcPr>
            <w:tcW w:w="3800" w:type="pct"/>
            <w:tcBorders>
              <w:top w:val="nil"/>
              <w:left w:val="nil"/>
              <w:bottom w:val="nil"/>
              <w:right w:val="nil"/>
            </w:tcBorders>
            <w:shd w:val="clear" w:color="auto" w:fill="auto"/>
            <w:tcMar>
              <w:top w:w="0" w:type="dxa"/>
              <w:left w:w="0" w:type="dxa"/>
              <w:bottom w:w="0" w:type="dxa"/>
              <w:right w:w="227" w:type="dxa"/>
            </w:tcMar>
          </w:tcPr>
          <w:p w:rsidR="00C27BD0" w:rsidRDefault="00000000">
            <w:pPr>
              <w:spacing w:after="240"/>
              <w:rPr>
                <w:sz w:val="20"/>
                <w:szCs w:val="20"/>
              </w:rPr>
            </w:pPr>
            <w:r>
              <w:rPr>
                <w:i/>
                <w:iCs/>
                <w:sz w:val="20"/>
                <w:szCs w:val="20"/>
              </w:rPr>
              <w:t>Ein langer Veranstaltungstag, sommerliche Temperaturen, viele Menschen und ein anspruchsvolles Hospitality-Umfeld – bei großen Sportereignissen entscheidet das Gästeerlebnis auch an Orten, die selten im Mittelpunkt stehen. Bei der BMW International Open, einem der wichtigsten Profi-Golfturniere in Deutschland, und den FEI World Championships Aachen, dem internationalen Höhepunkt des Pferdesports, kamen mobile VIP-Sanitärcontainer mit Dusch-WCs von TOTO zum Einsatz. Sie bringen Komfort, Hygiene und hochwertige Badkultur dorthin, wo Gäste sie kaum erwarten.</w:t>
            </w:r>
          </w:p>
          <w:p w:rsidR="00C27BD0" w:rsidRDefault="00000000">
            <w:pPr>
              <w:spacing w:after="240"/>
              <w:rPr>
                <w:sz w:val="20"/>
                <w:szCs w:val="20"/>
              </w:rPr>
            </w:pPr>
            <w:r>
              <w:rPr>
                <w:sz w:val="20"/>
                <w:szCs w:val="20"/>
              </w:rPr>
              <w:t>Bei internationalen Großveranstaltungen wird viel dafür getan, dass Gäste sich wohlfühlen. Der Empfang ist aufmerksam, das Catering erstklassig, die Wege sind organisiert, die Aufenthaltsbereiche sorgfältig gestaltet. Doch irgendwann führt jeder Veranstaltungstag an einen Ort, der selten im Mittelpunkt steht und dennoch viel über das Qualitätsverständnis eines Events verrät, zur Toilette.</w:t>
            </w:r>
          </w:p>
          <w:p w:rsidR="00C27BD0" w:rsidRDefault="00000000">
            <w:pPr>
              <w:spacing w:after="240"/>
              <w:rPr>
                <w:sz w:val="20"/>
                <w:szCs w:val="20"/>
              </w:rPr>
            </w:pPr>
            <w:r>
              <w:rPr>
                <w:b/>
                <w:bCs/>
                <w:sz w:val="20"/>
                <w:szCs w:val="20"/>
              </w:rPr>
              <w:t>Mobile Bäder auf Zeit</w:t>
            </w:r>
          </w:p>
          <w:p w:rsidR="00C27BD0" w:rsidRDefault="00000000">
            <w:pPr>
              <w:spacing w:after="240"/>
              <w:rPr>
                <w:sz w:val="20"/>
                <w:szCs w:val="20"/>
              </w:rPr>
            </w:pPr>
            <w:r>
              <w:rPr>
                <w:sz w:val="20"/>
                <w:szCs w:val="20"/>
              </w:rPr>
              <w:t>Bei der BMW International Open und den FEI World Championships Aachen wurde dieser Moment zu einem überraschend angenehmen Teil des Gästeerlebnisses. Die mobilen VIP-Sanitärcontainer waren als kleine, hochwertig ausgestattete Bäder auf Zeit gestaltet. Mit heller Atmosphäre, gepflegten Oberflächen, angenehmer Beleuchtung sowie WASHLETs, WCs, Waschtischen und Urinalen von TOTO entstand ein Sanitärbereich, der zum exklusiven Charakter der Veranstaltungen passte.</w:t>
            </w:r>
          </w:p>
          <w:p w:rsidR="00C27BD0" w:rsidRDefault="00000000">
            <w:pPr>
              <w:spacing w:after="240"/>
              <w:rPr>
                <w:sz w:val="20"/>
                <w:szCs w:val="20"/>
              </w:rPr>
            </w:pPr>
            <w:r>
              <w:rPr>
                <w:sz w:val="20"/>
                <w:szCs w:val="20"/>
              </w:rPr>
              <w:lastRenderedPageBreak/>
              <w:t>Gerade bei Großevents ist diese Qualität relevant. Gäste verbringen viele Stunden auf dem Gelände, bewegen sich zwischen Sport, VIP- und Begegnungsbereichen und erwarten ein stimmiges Gesamtbild. Der Sanitärbereich wird dabei zu einem Detail, das den professionellen Anspruch der Veranstaltung fortführt – an einem Ort, wie ihn Gäste kaum erwarten.</w:t>
            </w:r>
          </w:p>
          <w:p w:rsidR="00C27BD0" w:rsidRDefault="00000000">
            <w:pPr>
              <w:spacing w:after="240"/>
              <w:rPr>
                <w:sz w:val="20"/>
                <w:szCs w:val="20"/>
              </w:rPr>
            </w:pPr>
            <w:r>
              <w:rPr>
                <w:b/>
                <w:bCs/>
                <w:sz w:val="20"/>
                <w:szCs w:val="20"/>
              </w:rPr>
              <w:t>Wenn aus Infrastruktur Gastlichkeit wird</w:t>
            </w:r>
          </w:p>
          <w:p w:rsidR="00C27BD0" w:rsidRDefault="00000000">
            <w:pPr>
              <w:spacing w:after="240"/>
              <w:rPr>
                <w:sz w:val="20"/>
                <w:szCs w:val="20"/>
              </w:rPr>
            </w:pPr>
            <w:r>
              <w:rPr>
                <w:sz w:val="20"/>
                <w:szCs w:val="20"/>
              </w:rPr>
              <w:t>WASHLETs von TOTO machen unmittelbar erfahrbar, wie aus mobiler Infrastruktur ein Moment hochwertiger Gastlichkeit wird. Was im privaten Bad oder in der Hotellerie längst als besonderer Komfort geschätzt wird, bewährt sich in den mobilen VIP-Sanitärcontainern unter anspruchsvollsten Bedingungen. Die Reinigung mit frischem, warmem Wasser, individuelle Bedienmöglichkeiten und hochwertige Keramik, die auch bei intensiver Nutzung ein gepflegtes Erscheinungsbild gewährleistet, schaffen einen Sanitärkomfort, der für viele Gäste überraschend und angenehm zugleich ist.</w:t>
            </w:r>
          </w:p>
          <w:p w:rsidR="00054D93" w:rsidRDefault="00000000">
            <w:pPr>
              <w:spacing w:after="240"/>
              <w:rPr>
                <w:sz w:val="20"/>
                <w:szCs w:val="20"/>
              </w:rPr>
            </w:pPr>
            <w:r>
              <w:rPr>
                <w:sz w:val="20"/>
                <w:szCs w:val="20"/>
              </w:rPr>
              <w:t xml:space="preserve">Seit Jahrzehnten steht TOTO für eine japanisch geprägte Badkultur, bei der Hygiene, Komfort und intuitive Nutzung eng verbunden sind. Im temporären Sanitärbereich bekommt diese Qualität eine besondere Wirkung. Für manche Gäste ist es die erste Begegnung mit dieser Form der Hygiene. Andere kennen das WASHLET bereits aus gehobenen Hotels, internationalen Reisen oder dem privaten Bad. In beiden Fällen bleibt die Erfahrung positiv in Erinnerung, als ein Moment von Ruhe und Frische an einem Ort, der meist rein funktional erwartet wird. </w:t>
            </w:r>
          </w:p>
          <w:p w:rsidR="00C27BD0" w:rsidRDefault="00000000">
            <w:pPr>
              <w:spacing w:after="240"/>
              <w:rPr>
                <w:sz w:val="20"/>
                <w:szCs w:val="20"/>
              </w:rPr>
            </w:pPr>
            <w:r>
              <w:rPr>
                <w:sz w:val="20"/>
                <w:szCs w:val="20"/>
              </w:rPr>
              <w:t>„Wer Gäste auf höchstem Niveau empfängt, denkt Komfort bis ins Detail. Unsere WASHLETs bringen Hygiene, Wohlbefinden und japanisch geprägte Badkultur in mobile VIP-Sanitärcontainer. Damit wird der Sanitärbereich zu einem Teil des Gästeerlebnisses“, betont Anja Giersiepen, Senior Managerin Marketing bei TOTO Europe.</w:t>
            </w:r>
          </w:p>
          <w:p w:rsidR="00C27BD0" w:rsidRDefault="00000000">
            <w:pPr>
              <w:spacing w:after="240"/>
              <w:rPr>
                <w:sz w:val="20"/>
                <w:szCs w:val="20"/>
              </w:rPr>
            </w:pPr>
            <w:r>
              <w:rPr>
                <w:b/>
                <w:bCs/>
                <w:sz w:val="20"/>
                <w:szCs w:val="20"/>
              </w:rPr>
              <w:t>Badkompetenz für temporäre Räume</w:t>
            </w:r>
          </w:p>
          <w:p w:rsidR="00C27BD0" w:rsidRDefault="00000000">
            <w:pPr>
              <w:spacing w:after="240"/>
              <w:rPr>
                <w:sz w:val="20"/>
                <w:szCs w:val="20"/>
              </w:rPr>
            </w:pPr>
            <w:r>
              <w:rPr>
                <w:sz w:val="20"/>
                <w:szCs w:val="20"/>
              </w:rPr>
              <w:t>Hinter dem Konzept der VIP-Sanitärcontainer steht Henning Senger, Inhaber der Senger Gebäudetechnik GmbH &amp; Co. KG. Er hat beobachtet, dass bei hochwertigen Events oft viel in Zelt, Bühne, Licht, Küche und Service investiert wird. So entstand die Idee, auch den mobilen Sanitärbereich auf ein entsprechendes Niveau zu heben. Was zunächst als besondere Lösung für einzelne Veranstaltungen begann, hat sich zu einem eigenen Geschäftsfeld entwickelt, in dem handwerkliche Erfahrung, Produktqualität und ein gutes Gespür für Gästeerlebnisse zusammenkommen.</w:t>
            </w:r>
          </w:p>
          <w:p w:rsidR="0091722E" w:rsidRDefault="00000000">
            <w:pPr>
              <w:spacing w:after="240"/>
              <w:rPr>
                <w:sz w:val="20"/>
                <w:szCs w:val="20"/>
              </w:rPr>
            </w:pPr>
            <w:r>
              <w:rPr>
                <w:sz w:val="20"/>
                <w:szCs w:val="20"/>
              </w:rPr>
              <w:t xml:space="preserve">Die Container verbinden SHK-Kompetenz, Gestaltung und Betriebserfahrung zu einer besonderen Lösung für temporäre Veranstaltungen. Sie müssen schnell einsatzbereit sein, bei hoher Frequenz zuverlässig funktionieren und zugleich ein Ambiente bieten, das zum Anspruch exklusiver Events passt. Ein WASHLET von TOTO gehört für Henning Senger dabei zum Standard. „Wir möchten, dass Gäste beim Besuch der Toilette überrascht sind, im positiven Sinn. Unsere Container bieten mehr als Sauberkeit und Funktionalität, sie vermitteln Stil, Komfort und ein </w:t>
            </w:r>
            <w:r>
              <w:rPr>
                <w:sz w:val="20"/>
                <w:szCs w:val="20"/>
              </w:rPr>
              <w:lastRenderedPageBreak/>
              <w:t>Gefühl von Wertschätzung“, so Henning Senger.</w:t>
            </w:r>
          </w:p>
          <w:p w:rsidR="00C27BD0" w:rsidRDefault="00000000">
            <w:pPr>
              <w:spacing w:after="240"/>
              <w:rPr>
                <w:sz w:val="20"/>
                <w:szCs w:val="20"/>
              </w:rPr>
            </w:pPr>
            <w:r>
              <w:rPr>
                <w:sz w:val="20"/>
                <w:szCs w:val="20"/>
              </w:rPr>
              <w:t xml:space="preserve">Henning Senger ist Mitglied bei </w:t>
            </w:r>
            <w:proofErr w:type="spellStart"/>
            <w:r>
              <w:rPr>
                <w:sz w:val="20"/>
                <w:szCs w:val="20"/>
              </w:rPr>
              <w:t>bad</w:t>
            </w:r>
            <w:proofErr w:type="spellEnd"/>
            <w:r>
              <w:rPr>
                <w:sz w:val="20"/>
                <w:szCs w:val="20"/>
              </w:rPr>
              <w:t xml:space="preserve"> &amp; </w:t>
            </w:r>
            <w:proofErr w:type="spellStart"/>
            <w:r>
              <w:rPr>
                <w:sz w:val="20"/>
                <w:szCs w:val="20"/>
              </w:rPr>
              <w:t>heizung</w:t>
            </w:r>
            <w:proofErr w:type="spellEnd"/>
            <w:r>
              <w:rPr>
                <w:sz w:val="20"/>
                <w:szCs w:val="20"/>
              </w:rPr>
              <w:t xml:space="preserve"> </w:t>
            </w:r>
            <w:proofErr w:type="spellStart"/>
            <w:r>
              <w:rPr>
                <w:sz w:val="20"/>
                <w:szCs w:val="20"/>
              </w:rPr>
              <w:t>concept</w:t>
            </w:r>
            <w:proofErr w:type="spellEnd"/>
            <w:r>
              <w:rPr>
                <w:sz w:val="20"/>
                <w:szCs w:val="20"/>
              </w:rPr>
              <w:t xml:space="preserve"> AG, einem deutschlandweit tätigen Zusammenschluss hochwertiger Bäderbaubetriebe, die neben Heizungsbau vor allem auf Renovierung und Neubau anspruchsvoller Bäder spezialisiert sind.</w:t>
            </w:r>
          </w:p>
          <w:p w:rsidR="00C27BD0" w:rsidRDefault="00000000">
            <w:pPr>
              <w:spacing w:after="240"/>
              <w:rPr>
                <w:sz w:val="20"/>
                <w:szCs w:val="20"/>
              </w:rPr>
            </w:pPr>
            <w:r>
              <w:rPr>
                <w:sz w:val="20"/>
                <w:szCs w:val="20"/>
              </w:rPr>
              <w:t>Düsseldorf, im August 2026</w:t>
            </w:r>
            <w:r>
              <w:rPr>
                <w:sz w:val="20"/>
                <w:szCs w:val="20"/>
              </w:rPr>
              <w:br/>
              <w:t>Abdruck honorarfrei / Beleg erbeten</w:t>
            </w:r>
          </w:p>
          <w:p w:rsidR="00C27BD0" w:rsidRDefault="00000000">
            <w:pPr>
              <w:rPr>
                <w:sz w:val="20"/>
                <w:szCs w:val="20"/>
              </w:rPr>
            </w:pPr>
            <w:r>
              <w:rPr>
                <w:sz w:val="20"/>
                <w:szCs w:val="20"/>
              </w:rPr>
              <w:t> </w:t>
            </w:r>
          </w:p>
        </w:tc>
        <w:tc>
          <w:tcPr>
            <w:tcW w:w="1200" w:type="pct"/>
            <w:tcBorders>
              <w:top w:val="nil"/>
              <w:left w:val="nil"/>
              <w:bottom w:val="nil"/>
              <w:right w:val="nil"/>
            </w:tcBorders>
            <w:shd w:val="clear" w:color="auto" w:fill="auto"/>
            <w:tcMar>
              <w:top w:w="0" w:type="dxa"/>
              <w:left w:w="0" w:type="dxa"/>
              <w:bottom w:w="0" w:type="dxa"/>
              <w:right w:w="227" w:type="dxa"/>
            </w:tcMar>
          </w:tcPr>
          <w:p w:rsidR="00C27BD0" w:rsidRDefault="00000000">
            <w:pPr>
              <w:spacing w:after="240"/>
              <w:rPr>
                <w:sz w:val="20"/>
                <w:szCs w:val="20"/>
              </w:rPr>
            </w:pPr>
            <w:r>
              <w:rPr>
                <w:b/>
                <w:bCs/>
                <w:sz w:val="20"/>
                <w:szCs w:val="20"/>
              </w:rPr>
              <w:lastRenderedPageBreak/>
              <w:t>Ansprechpartnerin für die Presse:</w:t>
            </w:r>
            <w:r>
              <w:rPr>
                <w:b/>
                <w:bCs/>
                <w:sz w:val="20"/>
                <w:szCs w:val="20"/>
              </w:rPr>
              <w:br/>
            </w:r>
            <w:r>
              <w:rPr>
                <w:sz w:val="20"/>
                <w:szCs w:val="20"/>
              </w:rPr>
              <w:t>bering*</w:t>
            </w:r>
            <w:proofErr w:type="spellStart"/>
            <w:r>
              <w:rPr>
                <w:sz w:val="20"/>
                <w:szCs w:val="20"/>
              </w:rPr>
              <w:t>kopal</w:t>
            </w:r>
            <w:proofErr w:type="spellEnd"/>
            <w:r>
              <w:rPr>
                <w:sz w:val="20"/>
                <w:szCs w:val="20"/>
              </w:rPr>
              <w:t xml:space="preserve"> GbR, Büro für Kommunikation</w:t>
            </w:r>
            <w:r>
              <w:rPr>
                <w:sz w:val="20"/>
                <w:szCs w:val="20"/>
              </w:rPr>
              <w:br/>
              <w:t>Heike Bering</w:t>
            </w:r>
            <w:r>
              <w:rPr>
                <w:sz w:val="20"/>
                <w:szCs w:val="20"/>
              </w:rPr>
              <w:br/>
              <w:t>Tel. +49 (0)711 7451 759 15</w:t>
            </w:r>
          </w:p>
          <w:p w:rsidR="00C27BD0" w:rsidRDefault="00000000">
            <w:pPr>
              <w:spacing w:after="240"/>
              <w:rPr>
                <w:sz w:val="20"/>
                <w:szCs w:val="20"/>
              </w:rPr>
            </w:pPr>
            <w:proofErr w:type="spellStart"/>
            <w:proofErr w:type="gramStart"/>
            <w:r>
              <w:rPr>
                <w:sz w:val="20"/>
                <w:szCs w:val="20"/>
              </w:rPr>
              <w:t>heike.bering</w:t>
            </w:r>
            <w:proofErr w:type="spellEnd"/>
            <w:proofErr w:type="gramEnd"/>
            <w:r>
              <w:rPr>
                <w:sz w:val="20"/>
                <w:szCs w:val="20"/>
              </w:rPr>
              <w:t>@</w:t>
            </w:r>
            <w:r>
              <w:rPr>
                <w:sz w:val="20"/>
                <w:szCs w:val="20"/>
              </w:rPr>
              <w:br/>
              <w:t>bering-kopal.de</w:t>
            </w:r>
          </w:p>
          <w:p w:rsidR="00C27BD0" w:rsidRDefault="00000000">
            <w:pPr>
              <w:spacing w:after="240"/>
              <w:rPr>
                <w:sz w:val="20"/>
                <w:szCs w:val="20"/>
              </w:rPr>
            </w:pPr>
            <w:r>
              <w:rPr>
                <w:b/>
                <w:bCs/>
                <w:sz w:val="20"/>
                <w:szCs w:val="20"/>
              </w:rPr>
              <w:t>Ansprechpartnerin im Unternehmen:</w:t>
            </w:r>
            <w:r>
              <w:rPr>
                <w:b/>
                <w:bCs/>
                <w:sz w:val="20"/>
                <w:szCs w:val="20"/>
              </w:rPr>
              <w:br/>
            </w:r>
            <w:r>
              <w:rPr>
                <w:sz w:val="20"/>
                <w:szCs w:val="20"/>
              </w:rPr>
              <w:t>Anja Giersiepen</w:t>
            </w:r>
            <w:r>
              <w:rPr>
                <w:sz w:val="20"/>
                <w:szCs w:val="20"/>
              </w:rPr>
              <w:br/>
            </w:r>
            <w:proofErr w:type="spellStart"/>
            <w:r>
              <w:rPr>
                <w:sz w:val="20"/>
                <w:szCs w:val="20"/>
              </w:rPr>
              <w:t>anja.giersiepen</w:t>
            </w:r>
            <w:proofErr w:type="spellEnd"/>
            <w:r>
              <w:rPr>
                <w:sz w:val="20"/>
                <w:szCs w:val="20"/>
              </w:rPr>
              <w:t>@</w:t>
            </w:r>
            <w:r>
              <w:rPr>
                <w:sz w:val="20"/>
                <w:szCs w:val="20"/>
              </w:rPr>
              <w:br/>
              <w:t>toto.com</w:t>
            </w:r>
          </w:p>
          <w:p w:rsidR="00C27BD0" w:rsidRDefault="00000000">
            <w:pPr>
              <w:rPr>
                <w:sz w:val="20"/>
                <w:szCs w:val="20"/>
              </w:rPr>
            </w:pPr>
            <w:r>
              <w:rPr>
                <w:sz w:val="20"/>
                <w:szCs w:val="20"/>
              </w:rPr>
              <w:t>TOTO im Internet:</w:t>
            </w:r>
            <w:r>
              <w:rPr>
                <w:sz w:val="20"/>
                <w:szCs w:val="20"/>
              </w:rPr>
              <w:br/>
            </w:r>
            <w:hyperlink r:id="rId7">
              <w:r>
                <w:rPr>
                  <w:rStyle w:val="Hyperlink"/>
                  <w:color w:val="000000"/>
                  <w:sz w:val="20"/>
                  <w:szCs w:val="20"/>
                </w:rPr>
                <w:t>eu.toto.com/de</w:t>
              </w:r>
            </w:hyperlink>
          </w:p>
        </w:tc>
      </w:tr>
    </w:tbl>
    <w:p w:rsidR="00C27BD0" w:rsidRDefault="00000000">
      <w:r>
        <w:lastRenderedPageBreak/>
        <w:br w:type="page"/>
      </w:r>
    </w:p>
    <w:p w:rsidR="00C27BD0" w:rsidRDefault="00000000">
      <w:pPr>
        <w:rPr>
          <w:sz w:val="17"/>
          <w:szCs w:val="17"/>
        </w:rPr>
      </w:pPr>
      <w:r>
        <w:rPr>
          <w:b/>
          <w:bCs/>
          <w:sz w:val="17"/>
          <w:szCs w:val="17"/>
        </w:rPr>
        <w:lastRenderedPageBreak/>
        <w:t>1</w:t>
      </w:r>
      <w:r>
        <w:rPr>
          <w:sz w:val="17"/>
          <w:szCs w:val="17"/>
        </w:rPr>
        <w:t xml:space="preserve"> Die BMW International Open zählt zu den wichtigsten Profi-Golfturnieren in Deutschland und verbindet internationalen Spitzensport mit einem hochwertigen Gästeerlebnis. Auch die mobilen VIP-Sanitärcontainer mit TOTO WASHLETs fügen sich in diesen Anspruch ein. Foto: BMW Group</w:t>
      </w:r>
      <w:r>
        <w:rPr>
          <w:sz w:val="17"/>
          <w:szCs w:val="17"/>
        </w:rPr>
        <w:br/>
      </w:r>
    </w:p>
    <w:p w:rsidR="00C27BD0" w:rsidRDefault="00000000">
      <w:pPr>
        <w:rPr>
          <w:sz w:val="17"/>
          <w:szCs w:val="17"/>
        </w:rPr>
      </w:pPr>
      <w:r>
        <w:rPr>
          <w:b/>
          <w:bCs/>
          <w:sz w:val="17"/>
          <w:szCs w:val="17"/>
        </w:rPr>
        <w:t>2</w:t>
      </w:r>
      <w:r>
        <w:rPr>
          <w:sz w:val="17"/>
          <w:szCs w:val="17"/>
        </w:rPr>
        <w:t xml:space="preserve"> Die FEI World Championships Aachen zählen zu den internationalen Höhepunkten des Pferdesports. Bei dem Großereignis treffen sportliche Exzellenz, internationales Publikum und ein anspruchsvolles Gästeerlebnis aufeinander, zu dem auch mobile VIP-Sanitärcontainer mit TOTO WASHLETs beitragen. Foto: Aachener Reitturnier GmbH</w:t>
      </w:r>
      <w:r>
        <w:rPr>
          <w:sz w:val="17"/>
          <w:szCs w:val="17"/>
        </w:rPr>
        <w:br/>
      </w:r>
    </w:p>
    <w:p w:rsidR="00C27BD0" w:rsidRDefault="00000000">
      <w:pPr>
        <w:rPr>
          <w:sz w:val="17"/>
          <w:szCs w:val="17"/>
        </w:rPr>
      </w:pPr>
      <w:r>
        <w:rPr>
          <w:b/>
          <w:bCs/>
          <w:sz w:val="17"/>
          <w:szCs w:val="17"/>
        </w:rPr>
        <w:t>3</w:t>
      </w:r>
      <w:r>
        <w:rPr>
          <w:sz w:val="17"/>
          <w:szCs w:val="17"/>
        </w:rPr>
        <w:t xml:space="preserve"> In einer besonderen Turnieratmosphäre bringen die FEI World Championships Aachen die Weltelite des Pferdesports zusammen. Für den Komfort der Gäste sorgen auch mobile VIP-Sanitärcontainer mit TOTO WASHLETs, die hochwertige Badkultur in den temporären Veranstaltungsbereich übertragen. Foto: Aachener Reitturnier GmbH</w:t>
      </w:r>
      <w:r>
        <w:rPr>
          <w:sz w:val="17"/>
          <w:szCs w:val="17"/>
        </w:rPr>
        <w:br/>
      </w:r>
    </w:p>
    <w:p w:rsidR="00C27BD0" w:rsidRDefault="00000000">
      <w:pPr>
        <w:rPr>
          <w:sz w:val="17"/>
          <w:szCs w:val="17"/>
        </w:rPr>
      </w:pPr>
      <w:r>
        <w:rPr>
          <w:b/>
          <w:bCs/>
          <w:sz w:val="17"/>
          <w:szCs w:val="17"/>
        </w:rPr>
        <w:t>4</w:t>
      </w:r>
      <w:r>
        <w:rPr>
          <w:sz w:val="17"/>
          <w:szCs w:val="17"/>
        </w:rPr>
        <w:t xml:space="preserve"> Weltklasseevents. Weltklassetoiletten. Die exklusiven Sanitärcontainer sind mit TOTO WASHLETs ausgestattet und bieten Gästen bei exklusiven Veranstaltungen ein besonderes Maß an Komfort und Hygiene. Foto: TOTO</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C27BD0">
        <w:tc>
          <w:tcPr>
            <w:tcW w:w="2444" w:type="pct"/>
            <w:tcBorders>
              <w:top w:val="nil"/>
              <w:left w:val="nil"/>
              <w:bottom w:val="nil"/>
              <w:right w:val="nil"/>
            </w:tcBorders>
            <w:shd w:val="clear" w:color="auto" w:fill="auto"/>
            <w:tcMar>
              <w:top w:w="0" w:type="dxa"/>
              <w:left w:w="0" w:type="dxa"/>
              <w:bottom w:w="0" w:type="dxa"/>
              <w:right w:w="0" w:type="dxa"/>
            </w:tcMar>
          </w:tcPr>
          <w:p w:rsidR="00C27BD0" w:rsidRDefault="00000000">
            <w:pPr>
              <w:keepNext/>
              <w:keepLines/>
              <w:rPr>
                <w:sz w:val="14"/>
                <w:szCs w:val="14"/>
              </w:rPr>
            </w:pPr>
            <w:r>
              <w:rPr>
                <w:sz w:val="14"/>
                <w:szCs w:val="14"/>
              </w:rPr>
              <w:t>1.</w:t>
            </w:r>
          </w:p>
        </w:tc>
        <w:tc>
          <w:tcPr>
            <w:tcW w:w="112"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C27BD0" w:rsidRDefault="00000000">
            <w:pPr>
              <w:keepNext/>
              <w:keepLines/>
              <w:rPr>
                <w:sz w:val="14"/>
                <w:szCs w:val="14"/>
              </w:rPr>
            </w:pPr>
            <w:r>
              <w:rPr>
                <w:sz w:val="14"/>
                <w:szCs w:val="14"/>
              </w:rPr>
              <w:t>2.</w:t>
            </w:r>
          </w:p>
        </w:tc>
      </w:tr>
      <w:tr w:rsidR="00C27BD0">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27BD0" w:rsidRDefault="00000000">
            <w:pPr>
              <w:keepNext/>
              <w:keepLines/>
              <w:rPr>
                <w:sz w:val="14"/>
                <w:szCs w:val="14"/>
              </w:rPr>
            </w:pPr>
            <w:r>
              <w:rPr>
                <w:noProof/>
                <w:sz w:val="14"/>
                <w:szCs w:val="14"/>
              </w:rPr>
              <w:drawing>
                <wp:inline distT="0" distB="0" distL="0" distR="0">
                  <wp:extent cx="3023235"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8" cstate="print">
                            <a:extLst>
                              <a:ext uri="{28A0092B-C50C-407E-A947-70E740481C1C}">
                                <a14:useLocalDpi xmlns:a14="http://schemas.microsoft.com/office/drawing/2010/main"/>
                              </a:ext>
                            </a:extLst>
                          </a:blip>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27BD0" w:rsidRDefault="00000000">
            <w:pPr>
              <w:keepNext/>
              <w:keepLines/>
              <w:rPr>
                <w:sz w:val="14"/>
                <w:szCs w:val="14"/>
              </w:rPr>
            </w:pPr>
            <w:r>
              <w:rPr>
                <w:noProof/>
                <w:sz w:val="14"/>
                <w:szCs w:val="14"/>
              </w:rPr>
              <w:drawing>
                <wp:inline distT="0" distB="0" distL="0" distR="0">
                  <wp:extent cx="3020060"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9" cstate="print">
                            <a:extLst>
                              <a:ext uri="{28A0092B-C50C-407E-A947-70E740481C1C}">
                                <a14:useLocalDpi xmlns:a14="http://schemas.microsoft.com/office/drawing/2010/main"/>
                              </a:ext>
                            </a:extLst>
                          </a:blip>
                          <a:srcRect/>
                          <a:stretch>
                            <a:fillRect/>
                          </a:stretch>
                        </pic:blipFill>
                        <pic:spPr>
                          <a:xfrm>
                            <a:off x="0" y="0"/>
                            <a:ext cx="3020060" cy="2014220"/>
                          </a:xfrm>
                          <a:prstGeom prst="rect">
                            <a:avLst/>
                          </a:prstGeom>
                        </pic:spPr>
                      </pic:pic>
                    </a:graphicData>
                  </a:graphic>
                </wp:inline>
              </w:drawing>
            </w:r>
          </w:p>
        </w:tc>
      </w:tr>
      <w:tr w:rsidR="00C27BD0">
        <w:tc>
          <w:tcPr>
            <w:tcW w:w="2444"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r>
      <w:tr w:rsidR="00C27BD0">
        <w:tc>
          <w:tcPr>
            <w:tcW w:w="2444" w:type="pct"/>
            <w:tcBorders>
              <w:top w:val="nil"/>
              <w:left w:val="nil"/>
              <w:bottom w:val="nil"/>
              <w:right w:val="nil"/>
            </w:tcBorders>
            <w:shd w:val="clear" w:color="auto" w:fill="auto"/>
            <w:tcMar>
              <w:top w:w="0" w:type="dxa"/>
              <w:left w:w="0" w:type="dxa"/>
              <w:bottom w:w="0" w:type="dxa"/>
              <w:right w:w="0" w:type="dxa"/>
            </w:tcMar>
          </w:tcPr>
          <w:p w:rsidR="00C27BD0" w:rsidRDefault="00000000">
            <w:pPr>
              <w:keepNext/>
              <w:keepLines/>
              <w:rPr>
                <w:sz w:val="14"/>
                <w:szCs w:val="14"/>
              </w:rPr>
            </w:pPr>
            <w:r>
              <w:rPr>
                <w:sz w:val="14"/>
                <w:szCs w:val="14"/>
              </w:rPr>
              <w:t>3.</w:t>
            </w:r>
          </w:p>
        </w:tc>
        <w:tc>
          <w:tcPr>
            <w:tcW w:w="112"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C27BD0" w:rsidRDefault="00000000">
            <w:pPr>
              <w:keepNext/>
              <w:keepLines/>
              <w:rPr>
                <w:sz w:val="14"/>
                <w:szCs w:val="14"/>
              </w:rPr>
            </w:pPr>
            <w:r>
              <w:rPr>
                <w:sz w:val="14"/>
                <w:szCs w:val="14"/>
              </w:rPr>
              <w:t>4.</w:t>
            </w:r>
          </w:p>
        </w:tc>
      </w:tr>
      <w:tr w:rsidR="00C27BD0">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27BD0" w:rsidRDefault="00000000">
            <w:pPr>
              <w:keepNext/>
              <w:keepLines/>
              <w:rPr>
                <w:sz w:val="14"/>
                <w:szCs w:val="14"/>
              </w:rPr>
            </w:pPr>
            <w:r>
              <w:rPr>
                <w:noProof/>
                <w:sz w:val="14"/>
                <w:szCs w:val="14"/>
              </w:rPr>
              <w:drawing>
                <wp:inline distT="0" distB="0" distL="0" distR="0">
                  <wp:extent cx="2687955"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10" cstate="print">
                            <a:extLst>
                              <a:ext uri="{28A0092B-C50C-407E-A947-70E740481C1C}">
                                <a14:useLocalDpi xmlns:a14="http://schemas.microsoft.com/office/drawing/2010/main"/>
                              </a:ext>
                            </a:extLst>
                          </a:blip>
                          <a:srcRect/>
                          <a:stretch>
                            <a:fillRect/>
                          </a:stretch>
                        </pic:blipFill>
                        <pic:spPr>
                          <a:xfrm>
                            <a:off x="0" y="0"/>
                            <a:ext cx="268795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27BD0" w:rsidRDefault="00000000">
            <w:pPr>
              <w:keepNext/>
              <w:keepLines/>
              <w:rPr>
                <w:sz w:val="14"/>
                <w:szCs w:val="14"/>
              </w:rPr>
            </w:pPr>
            <w:r>
              <w:rPr>
                <w:noProof/>
                <w:sz w:val="14"/>
                <w:szCs w:val="14"/>
              </w:rPr>
              <w:drawing>
                <wp:inline distT="0" distB="0" distL="0" distR="0">
                  <wp:extent cx="3023235"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1" cstate="print">
                            <a:extLst>
                              <a:ext uri="{28A0092B-C50C-407E-A947-70E740481C1C}">
                                <a14:useLocalDpi xmlns:a14="http://schemas.microsoft.com/office/drawing/2010/main"/>
                              </a:ext>
                            </a:extLst>
                          </a:blip>
                          <a:srcRect/>
                          <a:stretch>
                            <a:fillRect/>
                          </a:stretch>
                        </pic:blipFill>
                        <pic:spPr>
                          <a:xfrm>
                            <a:off x="0" y="0"/>
                            <a:ext cx="3023235" cy="2014220"/>
                          </a:xfrm>
                          <a:prstGeom prst="rect">
                            <a:avLst/>
                          </a:prstGeom>
                        </pic:spPr>
                      </pic:pic>
                    </a:graphicData>
                  </a:graphic>
                </wp:inline>
              </w:drawing>
            </w:r>
          </w:p>
        </w:tc>
      </w:tr>
    </w:tbl>
    <w:p w:rsidR="00C27BD0" w:rsidRDefault="00000000">
      <w:r>
        <w:br w:type="page"/>
      </w:r>
    </w:p>
    <w:p w:rsidR="00C27BD0" w:rsidRDefault="00000000">
      <w:pPr>
        <w:rPr>
          <w:sz w:val="17"/>
          <w:szCs w:val="17"/>
        </w:rPr>
      </w:pPr>
      <w:r>
        <w:rPr>
          <w:b/>
          <w:bCs/>
          <w:sz w:val="17"/>
          <w:szCs w:val="17"/>
        </w:rPr>
        <w:lastRenderedPageBreak/>
        <w:t>5</w:t>
      </w:r>
      <w:r>
        <w:rPr>
          <w:sz w:val="17"/>
          <w:szCs w:val="17"/>
        </w:rPr>
        <w:t xml:space="preserve"> Das TOTO WASHLET macht den Sanitärkomfort in den mobilen VIP-Containern unmittelbar erlebbar. Die Reinigung mit warmem Wasser und die komfortable Bedienung schaffen einen Moment von Frische und Wohlbefinden. Foto: TOTO</w:t>
      </w:r>
      <w:r>
        <w:rPr>
          <w:sz w:val="17"/>
          <w:szCs w:val="17"/>
        </w:rPr>
        <w:br/>
      </w:r>
    </w:p>
    <w:p w:rsidR="00C27BD0" w:rsidRDefault="00000000">
      <w:pPr>
        <w:rPr>
          <w:sz w:val="17"/>
          <w:szCs w:val="17"/>
        </w:rPr>
      </w:pPr>
      <w:r>
        <w:rPr>
          <w:b/>
          <w:bCs/>
          <w:sz w:val="17"/>
          <w:szCs w:val="17"/>
        </w:rPr>
        <w:t>6</w:t>
      </w:r>
      <w:r>
        <w:rPr>
          <w:sz w:val="17"/>
          <w:szCs w:val="17"/>
        </w:rPr>
        <w:t xml:space="preserve"> Waschtische, Spiegel und gepflegte Oberflächen prägen den hochwertigen Charakter der mobilen VIP-Sanitärcontainer. Die Ausstattung, wie die Waschtische von TOTO, machen aus dem temporären Sanitärbereich ein kleines Bad auf Zeit. Foto: TOTO</w:t>
      </w:r>
      <w:r>
        <w:rPr>
          <w:sz w:val="17"/>
          <w:szCs w:val="17"/>
        </w:rPr>
        <w:br/>
      </w:r>
    </w:p>
    <w:p w:rsidR="00C27BD0" w:rsidRDefault="00000000">
      <w:pPr>
        <w:rPr>
          <w:sz w:val="17"/>
          <w:szCs w:val="17"/>
        </w:rPr>
      </w:pPr>
      <w:r>
        <w:rPr>
          <w:b/>
          <w:bCs/>
          <w:sz w:val="17"/>
          <w:szCs w:val="17"/>
        </w:rPr>
        <w:t>7</w:t>
      </w:r>
      <w:r>
        <w:rPr>
          <w:sz w:val="17"/>
          <w:szCs w:val="17"/>
        </w:rPr>
        <w:t xml:space="preserve"> Helle Räume, hochwertige Materialien und Sanitärprodukte von TOTO schaffen in den mobilen VIP-Sanitärcontainern ein Ambiente, das zum Anspruch exklusiver Veranstaltungen passt. Foto: TOTO</w:t>
      </w:r>
      <w:r>
        <w:rPr>
          <w:sz w:val="17"/>
          <w:szCs w:val="17"/>
        </w:rPr>
        <w:br/>
      </w:r>
    </w:p>
    <w:p w:rsidR="00C27BD0" w:rsidRDefault="00000000">
      <w:pPr>
        <w:rPr>
          <w:sz w:val="17"/>
          <w:szCs w:val="17"/>
        </w:rPr>
      </w:pPr>
      <w:r>
        <w:rPr>
          <w:b/>
          <w:bCs/>
          <w:sz w:val="17"/>
          <w:szCs w:val="17"/>
        </w:rPr>
        <w:t>8</w:t>
      </w:r>
      <w:r>
        <w:rPr>
          <w:sz w:val="17"/>
          <w:szCs w:val="17"/>
        </w:rPr>
        <w:t xml:space="preserve"> Auch auf engem Raum entsteht in den mobilen VIP-Sanitärcontainern ein heller, komfortabler Sanitärbereich. TOTO WASHLETs verbinden hochwertige Keramik, Hygiene und Bedienkomfort mit einer Gestaltung, die zum Anspruch exklusiver Veranstaltungen passt. Foto: TOTO</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C27BD0">
        <w:tc>
          <w:tcPr>
            <w:tcW w:w="2444" w:type="pct"/>
            <w:tcBorders>
              <w:top w:val="nil"/>
              <w:left w:val="nil"/>
              <w:bottom w:val="nil"/>
              <w:right w:val="nil"/>
            </w:tcBorders>
            <w:shd w:val="clear" w:color="auto" w:fill="auto"/>
            <w:tcMar>
              <w:top w:w="0" w:type="dxa"/>
              <w:left w:w="0" w:type="dxa"/>
              <w:bottom w:w="0" w:type="dxa"/>
              <w:right w:w="0" w:type="dxa"/>
            </w:tcMar>
          </w:tcPr>
          <w:p w:rsidR="00C27BD0" w:rsidRDefault="00000000">
            <w:pPr>
              <w:keepNext/>
              <w:keepLines/>
              <w:rPr>
                <w:sz w:val="14"/>
                <w:szCs w:val="14"/>
              </w:rPr>
            </w:pPr>
            <w:r>
              <w:rPr>
                <w:sz w:val="14"/>
                <w:szCs w:val="14"/>
              </w:rPr>
              <w:t>5.</w:t>
            </w:r>
          </w:p>
        </w:tc>
        <w:tc>
          <w:tcPr>
            <w:tcW w:w="112"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C27BD0" w:rsidRDefault="00000000">
            <w:pPr>
              <w:keepNext/>
              <w:keepLines/>
              <w:rPr>
                <w:sz w:val="14"/>
                <w:szCs w:val="14"/>
              </w:rPr>
            </w:pPr>
            <w:r>
              <w:rPr>
                <w:sz w:val="14"/>
                <w:szCs w:val="14"/>
              </w:rPr>
              <w:t>6.</w:t>
            </w:r>
          </w:p>
        </w:tc>
      </w:tr>
      <w:tr w:rsidR="00C27BD0">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27BD0" w:rsidRDefault="00000000">
            <w:pPr>
              <w:keepNext/>
              <w:keepLines/>
              <w:rPr>
                <w:sz w:val="14"/>
                <w:szCs w:val="14"/>
              </w:rPr>
            </w:pPr>
            <w:r>
              <w:rPr>
                <w:noProof/>
                <w:sz w:val="14"/>
                <w:szCs w:val="14"/>
              </w:rPr>
              <w:drawing>
                <wp:inline distT="0" distB="0" distL="0" distR="0">
                  <wp:extent cx="3023235"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2" cstate="print">
                            <a:extLst>
                              <a:ext uri="{28A0092B-C50C-407E-A947-70E740481C1C}">
                                <a14:useLocalDpi xmlns:a14="http://schemas.microsoft.com/office/drawing/2010/main"/>
                              </a:ext>
                            </a:extLst>
                          </a:blip>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27BD0" w:rsidRDefault="00000000">
            <w:pPr>
              <w:keepNext/>
              <w:keepLines/>
              <w:rPr>
                <w:sz w:val="14"/>
                <w:szCs w:val="14"/>
              </w:rPr>
            </w:pPr>
            <w:r>
              <w:rPr>
                <w:noProof/>
                <w:sz w:val="14"/>
                <w:szCs w:val="14"/>
              </w:rPr>
              <w:drawing>
                <wp:inline distT="0" distB="0" distL="0" distR="0">
                  <wp:extent cx="3023235"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3" cstate="print">
                            <a:extLst>
                              <a:ext uri="{28A0092B-C50C-407E-A947-70E740481C1C}">
                                <a14:useLocalDpi xmlns:a14="http://schemas.microsoft.com/office/drawing/2010/main"/>
                              </a:ext>
                            </a:extLst>
                          </a:blip>
                          <a:srcRect/>
                          <a:stretch>
                            <a:fillRect/>
                          </a:stretch>
                        </pic:blipFill>
                        <pic:spPr>
                          <a:xfrm>
                            <a:off x="0" y="0"/>
                            <a:ext cx="3023235" cy="2014220"/>
                          </a:xfrm>
                          <a:prstGeom prst="rect">
                            <a:avLst/>
                          </a:prstGeom>
                        </pic:spPr>
                      </pic:pic>
                    </a:graphicData>
                  </a:graphic>
                </wp:inline>
              </w:drawing>
            </w:r>
          </w:p>
        </w:tc>
      </w:tr>
      <w:tr w:rsidR="00C27BD0">
        <w:tc>
          <w:tcPr>
            <w:tcW w:w="2444"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r>
      <w:tr w:rsidR="00C27BD0">
        <w:tc>
          <w:tcPr>
            <w:tcW w:w="2444" w:type="pct"/>
            <w:tcBorders>
              <w:top w:val="nil"/>
              <w:left w:val="nil"/>
              <w:bottom w:val="nil"/>
              <w:right w:val="nil"/>
            </w:tcBorders>
            <w:shd w:val="clear" w:color="auto" w:fill="auto"/>
            <w:tcMar>
              <w:top w:w="0" w:type="dxa"/>
              <w:left w:w="0" w:type="dxa"/>
              <w:bottom w:w="0" w:type="dxa"/>
              <w:right w:w="0" w:type="dxa"/>
            </w:tcMar>
          </w:tcPr>
          <w:p w:rsidR="00C27BD0" w:rsidRDefault="00000000">
            <w:pPr>
              <w:keepNext/>
              <w:keepLines/>
              <w:rPr>
                <w:sz w:val="14"/>
                <w:szCs w:val="14"/>
              </w:rPr>
            </w:pPr>
            <w:r>
              <w:rPr>
                <w:sz w:val="14"/>
                <w:szCs w:val="14"/>
              </w:rPr>
              <w:t>7.</w:t>
            </w:r>
          </w:p>
        </w:tc>
        <w:tc>
          <w:tcPr>
            <w:tcW w:w="112"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C27BD0" w:rsidRDefault="00000000">
            <w:pPr>
              <w:keepNext/>
              <w:keepLines/>
              <w:rPr>
                <w:sz w:val="14"/>
                <w:szCs w:val="14"/>
              </w:rPr>
            </w:pPr>
            <w:r>
              <w:rPr>
                <w:sz w:val="14"/>
                <w:szCs w:val="14"/>
              </w:rPr>
              <w:t>8.</w:t>
            </w:r>
          </w:p>
        </w:tc>
      </w:tr>
      <w:tr w:rsidR="00C27BD0">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27BD0" w:rsidRDefault="00000000">
            <w:pPr>
              <w:keepNext/>
              <w:keepLines/>
              <w:rPr>
                <w:sz w:val="14"/>
                <w:szCs w:val="14"/>
              </w:rPr>
            </w:pPr>
            <w:r>
              <w:rPr>
                <w:noProof/>
                <w:sz w:val="14"/>
                <w:szCs w:val="14"/>
              </w:rPr>
              <w:drawing>
                <wp:inline distT="0" distB="0" distL="0" distR="0">
                  <wp:extent cx="3023235"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14" cstate="print">
                            <a:extLst>
                              <a:ext uri="{28A0092B-C50C-407E-A947-70E740481C1C}">
                                <a14:useLocalDpi xmlns:a14="http://schemas.microsoft.com/office/drawing/2010/main"/>
                              </a:ext>
                            </a:extLst>
                          </a:blip>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27BD0" w:rsidRDefault="00000000">
            <w:pPr>
              <w:keepNext/>
              <w:keepLines/>
              <w:rPr>
                <w:sz w:val="14"/>
                <w:szCs w:val="14"/>
              </w:rPr>
            </w:pPr>
            <w:r>
              <w:rPr>
                <w:noProof/>
                <w:sz w:val="14"/>
                <w:szCs w:val="14"/>
              </w:rPr>
              <w:drawing>
                <wp:inline distT="0" distB="0" distL="0" distR="0">
                  <wp:extent cx="3023235" cy="201422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dpi="0">
                          <a:blip r:embed="rId15" cstate="print">
                            <a:extLst>
                              <a:ext uri="{28A0092B-C50C-407E-A947-70E740481C1C}">
                                <a14:useLocalDpi xmlns:a14="http://schemas.microsoft.com/office/drawing/2010/main"/>
                              </a:ext>
                            </a:extLst>
                          </a:blip>
                          <a:srcRect/>
                          <a:stretch>
                            <a:fillRect/>
                          </a:stretch>
                        </pic:blipFill>
                        <pic:spPr>
                          <a:xfrm>
                            <a:off x="0" y="0"/>
                            <a:ext cx="3023235" cy="2014220"/>
                          </a:xfrm>
                          <a:prstGeom prst="rect">
                            <a:avLst/>
                          </a:prstGeom>
                        </pic:spPr>
                      </pic:pic>
                    </a:graphicData>
                  </a:graphic>
                </wp:inline>
              </w:drawing>
            </w:r>
          </w:p>
        </w:tc>
      </w:tr>
    </w:tbl>
    <w:p w:rsidR="00C27BD0" w:rsidRDefault="00000000">
      <w:r>
        <w:br w:type="page"/>
      </w:r>
    </w:p>
    <w:p w:rsidR="00C27BD0" w:rsidRDefault="00000000">
      <w:pPr>
        <w:rPr>
          <w:sz w:val="17"/>
          <w:szCs w:val="17"/>
        </w:rPr>
      </w:pPr>
      <w:r>
        <w:rPr>
          <w:b/>
          <w:bCs/>
          <w:sz w:val="17"/>
          <w:szCs w:val="17"/>
        </w:rPr>
        <w:lastRenderedPageBreak/>
        <w:t>9</w:t>
      </w:r>
      <w:r>
        <w:rPr>
          <w:sz w:val="17"/>
          <w:szCs w:val="17"/>
        </w:rPr>
        <w:t xml:space="preserve"> Elegante Oberflächen, klare Raumaufteilung und Urinale von TOTO prägen den gepflegten Herrenbereich der mobilen VIP-Sanitärcontainer. So entsteht auch im temporären Einsatz ein Sanitärbereich, der dem Anspruch exklusiver Veranstaltungen entspricht. Foto: TOTO</w:t>
      </w:r>
      <w:r>
        <w:rPr>
          <w:sz w:val="17"/>
          <w:szCs w:val="17"/>
        </w:rPr>
        <w:br/>
      </w:r>
    </w:p>
    <w:p w:rsidR="00C27BD0" w:rsidRDefault="00000000">
      <w:pPr>
        <w:rPr>
          <w:sz w:val="17"/>
          <w:szCs w:val="17"/>
        </w:rPr>
      </w:pPr>
      <w:r>
        <w:rPr>
          <w:b/>
          <w:bCs/>
          <w:sz w:val="17"/>
          <w:szCs w:val="17"/>
        </w:rPr>
        <w:t>10</w:t>
      </w:r>
      <w:r>
        <w:rPr>
          <w:sz w:val="17"/>
          <w:szCs w:val="17"/>
        </w:rPr>
        <w:t xml:space="preserve"> Komfort per Knopfdruck: Das TOTO WASHLET ermöglicht die Reinigung mit warmem Wasser und macht den Besuch der Toilette auch im temporären Sanitärcontainer zu einer äußerst angenehmen Erfahrung. Foto: TOTO</w:t>
      </w:r>
      <w:r>
        <w:rPr>
          <w:sz w:val="17"/>
          <w:szCs w:val="17"/>
        </w:rPr>
        <w:br/>
      </w:r>
    </w:p>
    <w:p w:rsidR="00C27BD0" w:rsidRDefault="00000000">
      <w:pPr>
        <w:rPr>
          <w:sz w:val="17"/>
          <w:szCs w:val="17"/>
        </w:rPr>
      </w:pPr>
      <w:r>
        <w:rPr>
          <w:b/>
          <w:bCs/>
          <w:sz w:val="17"/>
          <w:szCs w:val="17"/>
        </w:rPr>
        <w:t>11</w:t>
      </w:r>
      <w:r>
        <w:rPr>
          <w:sz w:val="17"/>
          <w:szCs w:val="17"/>
        </w:rPr>
        <w:t xml:space="preserve"> Akzentuierte Beleuchtung und der Blick in die hell ausgestatteten Kabinen prägen den hochwertigen Eindruck der mobilen VIP-Sanitärcontainer. So wird schon der Zugang zum Sanitärbereich Teil eines durchdachten Gästeerlebnisses. Foto: TOTO</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C27BD0">
        <w:tc>
          <w:tcPr>
            <w:tcW w:w="2444" w:type="pct"/>
            <w:tcBorders>
              <w:top w:val="nil"/>
              <w:left w:val="nil"/>
              <w:bottom w:val="nil"/>
              <w:right w:val="nil"/>
            </w:tcBorders>
            <w:shd w:val="clear" w:color="auto" w:fill="auto"/>
            <w:tcMar>
              <w:top w:w="0" w:type="dxa"/>
              <w:left w:w="0" w:type="dxa"/>
              <w:bottom w:w="0" w:type="dxa"/>
              <w:right w:w="0" w:type="dxa"/>
            </w:tcMar>
          </w:tcPr>
          <w:p w:rsidR="00C27BD0" w:rsidRDefault="00000000">
            <w:pPr>
              <w:keepNext/>
              <w:keepLines/>
              <w:rPr>
                <w:sz w:val="14"/>
                <w:szCs w:val="14"/>
              </w:rPr>
            </w:pPr>
            <w:r>
              <w:rPr>
                <w:sz w:val="14"/>
                <w:szCs w:val="14"/>
              </w:rPr>
              <w:t>9.</w:t>
            </w:r>
          </w:p>
        </w:tc>
        <w:tc>
          <w:tcPr>
            <w:tcW w:w="112"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C27BD0" w:rsidRDefault="00000000">
            <w:pPr>
              <w:keepNext/>
              <w:keepLines/>
              <w:rPr>
                <w:sz w:val="14"/>
                <w:szCs w:val="14"/>
              </w:rPr>
            </w:pPr>
            <w:r>
              <w:rPr>
                <w:sz w:val="14"/>
                <w:szCs w:val="14"/>
              </w:rPr>
              <w:t>10.</w:t>
            </w:r>
          </w:p>
        </w:tc>
      </w:tr>
      <w:tr w:rsidR="00C27BD0">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27BD0" w:rsidRDefault="00000000">
            <w:pPr>
              <w:keepNext/>
              <w:keepLines/>
              <w:rPr>
                <w:sz w:val="14"/>
                <w:szCs w:val="14"/>
              </w:rPr>
            </w:pPr>
            <w:r>
              <w:rPr>
                <w:noProof/>
                <w:sz w:val="14"/>
                <w:szCs w:val="14"/>
              </w:rPr>
              <w:drawing>
                <wp:inline distT="0" distB="0" distL="0" distR="0">
                  <wp:extent cx="3020060" cy="2014220"/>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dpi="0">
                          <a:blip r:embed="rId16" cstate="print">
                            <a:extLst>
                              <a:ext uri="{28A0092B-C50C-407E-A947-70E740481C1C}">
                                <a14:useLocalDpi xmlns:a14="http://schemas.microsoft.com/office/drawing/2010/main"/>
                              </a:ext>
                            </a:extLst>
                          </a:blip>
                          <a:srcRect/>
                          <a:stretch>
                            <a:fillRect/>
                          </a:stretch>
                        </pic:blipFill>
                        <pic:spPr>
                          <a:xfrm>
                            <a:off x="0" y="0"/>
                            <a:ext cx="3020060"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27BD0" w:rsidRDefault="00000000">
            <w:pPr>
              <w:keepNext/>
              <w:keepLines/>
              <w:rPr>
                <w:sz w:val="14"/>
                <w:szCs w:val="14"/>
              </w:rPr>
            </w:pPr>
            <w:r>
              <w:rPr>
                <w:noProof/>
                <w:sz w:val="14"/>
                <w:szCs w:val="14"/>
              </w:rPr>
              <w:drawing>
                <wp:inline distT="0" distB="0" distL="0" distR="0">
                  <wp:extent cx="3023235" cy="2014220"/>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dpi="0">
                          <a:blip r:embed="rId17" cstate="print">
                            <a:extLst>
                              <a:ext uri="{28A0092B-C50C-407E-A947-70E740481C1C}">
                                <a14:useLocalDpi xmlns:a14="http://schemas.microsoft.com/office/drawing/2010/main"/>
                              </a:ext>
                            </a:extLst>
                          </a:blip>
                          <a:srcRect/>
                          <a:stretch>
                            <a:fillRect/>
                          </a:stretch>
                        </pic:blipFill>
                        <pic:spPr>
                          <a:xfrm>
                            <a:off x="0" y="0"/>
                            <a:ext cx="3023235" cy="2014220"/>
                          </a:xfrm>
                          <a:prstGeom prst="rect">
                            <a:avLst/>
                          </a:prstGeom>
                        </pic:spPr>
                      </pic:pic>
                    </a:graphicData>
                  </a:graphic>
                </wp:inline>
              </w:drawing>
            </w:r>
          </w:p>
        </w:tc>
      </w:tr>
      <w:tr w:rsidR="00C27BD0">
        <w:tc>
          <w:tcPr>
            <w:tcW w:w="2444"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112"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r>
      <w:tr w:rsidR="00C27BD0">
        <w:tc>
          <w:tcPr>
            <w:tcW w:w="2444" w:type="pct"/>
            <w:tcBorders>
              <w:top w:val="nil"/>
              <w:left w:val="nil"/>
              <w:bottom w:val="nil"/>
              <w:right w:val="nil"/>
            </w:tcBorders>
            <w:shd w:val="clear" w:color="auto" w:fill="auto"/>
            <w:tcMar>
              <w:top w:w="0" w:type="dxa"/>
              <w:left w:w="0" w:type="dxa"/>
              <w:bottom w:w="0" w:type="dxa"/>
              <w:right w:w="0" w:type="dxa"/>
            </w:tcMar>
          </w:tcPr>
          <w:p w:rsidR="00C27BD0" w:rsidRDefault="00000000">
            <w:pPr>
              <w:keepNext/>
              <w:keepLines/>
              <w:rPr>
                <w:sz w:val="14"/>
                <w:szCs w:val="14"/>
              </w:rPr>
            </w:pPr>
            <w:r>
              <w:rPr>
                <w:sz w:val="14"/>
                <w:szCs w:val="14"/>
              </w:rPr>
              <w:t>11.</w:t>
            </w:r>
          </w:p>
        </w:tc>
        <w:tc>
          <w:tcPr>
            <w:tcW w:w="112"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c>
          <w:tcPr>
            <w:tcW w:w="2444"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4"/>
                <w:szCs w:val="14"/>
              </w:rPr>
            </w:pPr>
          </w:p>
        </w:tc>
      </w:tr>
      <w:tr w:rsidR="00C27BD0">
        <w:trPr>
          <w:trHeight w:hRule="exact" w:val="3175"/>
        </w:trPr>
        <w:tc>
          <w:tcPr>
            <w:tcW w:w="2444" w:type="pct"/>
            <w:tcBorders>
              <w:top w:val="single" w:sz="2" w:space="0" w:color="DCDCDC"/>
              <w:left w:val="single" w:sz="2" w:space="0" w:color="DCDCDC"/>
              <w:bottom w:val="single" w:sz="2" w:space="0" w:color="DCDCDC"/>
              <w:right w:val="single" w:sz="2" w:space="0" w:color="DCDCDC"/>
            </w:tcBorders>
            <w:shd w:val="clear" w:color="auto" w:fill="auto"/>
            <w:tcMar>
              <w:top w:w="0" w:type="dxa"/>
              <w:left w:w="0" w:type="dxa"/>
              <w:bottom w:w="0" w:type="dxa"/>
              <w:right w:w="0" w:type="dxa"/>
            </w:tcMar>
          </w:tcPr>
          <w:p w:rsidR="00C27BD0" w:rsidRDefault="00000000">
            <w:pPr>
              <w:keepNext/>
              <w:keepLines/>
              <w:rPr>
                <w:sz w:val="14"/>
                <w:szCs w:val="14"/>
              </w:rPr>
            </w:pPr>
            <w:r>
              <w:rPr>
                <w:noProof/>
                <w:sz w:val="14"/>
                <w:szCs w:val="14"/>
              </w:rPr>
              <w:drawing>
                <wp:inline distT="0" distB="0" distL="0" distR="0">
                  <wp:extent cx="3023235" cy="2014220"/>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dpi="0">
                          <a:blip r:embed="rId18" cstate="print">
                            <a:extLst>
                              <a:ext uri="{28A0092B-C50C-407E-A947-70E740481C1C}">
                                <a14:useLocalDpi xmlns:a14="http://schemas.microsoft.com/office/drawing/2010/main"/>
                              </a:ext>
                            </a:extLst>
                          </a:blip>
                          <a:srcRect/>
                          <a:stretch>
                            <a:fillRect/>
                          </a:stretch>
                        </pic:blipFill>
                        <pic:spPr>
                          <a:xfrm>
                            <a:off x="0" y="0"/>
                            <a:ext cx="3023235" cy="2014220"/>
                          </a:xfrm>
                          <a:prstGeom prst="rect">
                            <a:avLst/>
                          </a:prstGeom>
                        </pic:spPr>
                      </pic:pic>
                    </a:graphicData>
                  </a:graphic>
                </wp:inline>
              </w:drawing>
            </w:r>
          </w:p>
        </w:tc>
        <w:tc>
          <w:tcPr>
            <w:tcW w:w="112"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7"/>
                <w:szCs w:val="17"/>
              </w:rPr>
            </w:pPr>
          </w:p>
        </w:tc>
        <w:tc>
          <w:tcPr>
            <w:tcW w:w="2444" w:type="pct"/>
            <w:tcBorders>
              <w:top w:val="nil"/>
              <w:left w:val="nil"/>
              <w:bottom w:val="nil"/>
              <w:right w:val="nil"/>
            </w:tcBorders>
            <w:shd w:val="clear" w:color="auto" w:fill="auto"/>
            <w:tcMar>
              <w:top w:w="0" w:type="dxa"/>
              <w:left w:w="0" w:type="dxa"/>
              <w:bottom w:w="0" w:type="dxa"/>
              <w:right w:w="0" w:type="dxa"/>
            </w:tcMar>
          </w:tcPr>
          <w:p w:rsidR="00C27BD0" w:rsidRDefault="00C27BD0">
            <w:pPr>
              <w:keepNext/>
              <w:keepLines/>
              <w:rPr>
                <w:sz w:val="17"/>
                <w:szCs w:val="17"/>
              </w:rPr>
            </w:pPr>
          </w:p>
        </w:tc>
      </w:tr>
    </w:tbl>
    <w:p w:rsidR="00C27BD0" w:rsidRDefault="00000000">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792"/>
        <w:gridCol w:w="3792"/>
        <w:gridCol w:w="2395"/>
      </w:tblGrid>
      <w:tr w:rsidR="00C27BD0">
        <w:tc>
          <w:tcPr>
            <w:tcW w:w="3800" w:type="pct"/>
            <w:gridSpan w:val="2"/>
            <w:tcBorders>
              <w:top w:val="nil"/>
              <w:left w:val="nil"/>
              <w:bottom w:val="nil"/>
              <w:right w:val="nil"/>
            </w:tcBorders>
            <w:shd w:val="clear" w:color="auto" w:fill="auto"/>
            <w:tcMar>
              <w:top w:w="0" w:type="dxa"/>
              <w:left w:w="0" w:type="dxa"/>
              <w:bottom w:w="0" w:type="dxa"/>
              <w:right w:w="227" w:type="dxa"/>
            </w:tcMar>
          </w:tcPr>
          <w:p w:rsidR="00C27BD0" w:rsidRDefault="00000000">
            <w:pPr>
              <w:spacing w:before="240" w:after="240"/>
              <w:rPr>
                <w:sz w:val="20"/>
                <w:szCs w:val="20"/>
              </w:rPr>
            </w:pPr>
            <w:r>
              <w:rPr>
                <w:b/>
                <w:bCs/>
                <w:sz w:val="20"/>
                <w:szCs w:val="20"/>
              </w:rPr>
              <w:lastRenderedPageBreak/>
              <w:t>Über TOTO Europe</w:t>
            </w:r>
          </w:p>
          <w:p w:rsidR="00C27BD0" w:rsidRDefault="00000000">
            <w:pPr>
              <w:spacing w:before="240" w:after="240"/>
              <w:rPr>
                <w:sz w:val="20"/>
                <w:szCs w:val="20"/>
              </w:rPr>
            </w:pPr>
            <w:r>
              <w:rPr>
                <w:sz w:val="20"/>
                <w:szCs w:val="20"/>
              </w:rPr>
              <w:t xml:space="preserve">TOTO steht für Badkultur auf höchstem Niveau. Design, Komfort und Hygiene greifen so präzise ineinander, dass die raffiniert integrierte Technik fast unsichtbar wird. Als Japans führender Komplettbadanbieter entwickelt TOTO ganzheitliche Lösungen für anspruchsvolle private und öffentliche Räume und ist seit 2009 auch erfolgreich in Europa präsent. TOTO prägt die Badgestaltung mit innovativer Sanitärkeramik, Armaturen und vor allem dem WASHLET, von dem bereits über 70 Millionen weltweit verkauft wurden. Das japanische Designverständnis von TOTO stellt den Menschen und seine Bedürfnisse in den Mittelpunkt. So entstehen Produkte, die vom Respekt für das Gegenüber geprägt sind – zurückhaltend im Design, selbstverständlich in der Nutzung. Diesen Respekt erweist TOTO auch der Umwelt. Mit wassersparenden Technologien trägt TOTO aktiv zur Ressourcenschonung bei und verfolgt seine Nachhaltigkeitsstrategie im Rahmen international anerkannter Initiativen wie der </w:t>
            </w:r>
            <w:hyperlink r:id="rId19">
              <w:r>
                <w:rPr>
                  <w:rStyle w:val="Hyperlink"/>
                  <w:color w:val="000000"/>
                  <w:sz w:val="20"/>
                  <w:szCs w:val="20"/>
                </w:rPr>
                <w:t>Climate Group RE100</w:t>
              </w:r>
            </w:hyperlink>
            <w:r>
              <w:rPr>
                <w:sz w:val="20"/>
                <w:szCs w:val="20"/>
              </w:rPr>
              <w:t xml:space="preserve"> und der </w:t>
            </w:r>
            <w:hyperlink r:id="rId20">
              <w:r>
                <w:rPr>
                  <w:rStyle w:val="Hyperlink"/>
                  <w:color w:val="000000"/>
                  <w:sz w:val="20"/>
                  <w:szCs w:val="20"/>
                </w:rPr>
                <w:t xml:space="preserve">Science </w:t>
              </w:r>
              <w:proofErr w:type="spellStart"/>
              <w:r>
                <w:rPr>
                  <w:rStyle w:val="Hyperlink"/>
                  <w:color w:val="000000"/>
                  <w:sz w:val="20"/>
                  <w:szCs w:val="20"/>
                </w:rPr>
                <w:t>Based</w:t>
              </w:r>
              <w:proofErr w:type="spellEnd"/>
              <w:r>
                <w:rPr>
                  <w:rStyle w:val="Hyperlink"/>
                  <w:color w:val="000000"/>
                  <w:sz w:val="20"/>
                  <w:szCs w:val="20"/>
                </w:rPr>
                <w:t xml:space="preserve"> Targets Initiative</w:t>
              </w:r>
            </w:hyperlink>
            <w:r>
              <w:rPr>
                <w:sz w:val="20"/>
                <w:szCs w:val="20"/>
              </w:rPr>
              <w:t>.</w:t>
            </w:r>
          </w:p>
          <w:p w:rsidR="00C27BD0" w:rsidRDefault="00000000">
            <w:pPr>
              <w:rPr>
                <w:sz w:val="20"/>
                <w:szCs w:val="20"/>
              </w:rPr>
            </w:pPr>
            <w:r>
              <w:rPr>
                <w:sz w:val="20"/>
                <w:szCs w:val="20"/>
              </w:rPr>
              <w:br/>
            </w:r>
          </w:p>
        </w:tc>
        <w:tc>
          <w:tcPr>
            <w:tcW w:w="1200" w:type="pct"/>
            <w:tcBorders>
              <w:top w:val="nil"/>
              <w:left w:val="nil"/>
              <w:bottom w:val="nil"/>
              <w:right w:val="nil"/>
            </w:tcBorders>
            <w:shd w:val="clear" w:color="auto" w:fill="auto"/>
            <w:tcMar>
              <w:top w:w="0" w:type="dxa"/>
              <w:left w:w="0" w:type="dxa"/>
              <w:bottom w:w="0" w:type="dxa"/>
              <w:right w:w="227" w:type="dxa"/>
            </w:tcMar>
          </w:tcPr>
          <w:p w:rsidR="00C27BD0" w:rsidRDefault="00000000">
            <w:pPr>
              <w:rPr>
                <w:sz w:val="20"/>
                <w:szCs w:val="20"/>
              </w:rPr>
            </w:pPr>
            <w:r>
              <w:rPr>
                <w:sz w:val="20"/>
                <w:szCs w:val="20"/>
              </w:rPr>
              <w:br/>
            </w:r>
          </w:p>
        </w:tc>
      </w:tr>
      <w:tr w:rsidR="00C27BD0">
        <w:trPr>
          <w:gridAfter w:val="1"/>
          <w:wAfter w:w="1728" w:type="dxa"/>
        </w:trPr>
        <w:tc>
          <w:tcPr>
            <w:tcW w:w="2736" w:type="dxa"/>
            <w:tcBorders>
              <w:top w:val="nil"/>
              <w:left w:val="nil"/>
              <w:bottom w:val="nil"/>
              <w:right w:val="nil"/>
            </w:tcBorders>
            <w:shd w:val="clear" w:color="auto" w:fill="auto"/>
            <w:tcMar>
              <w:top w:w="0" w:type="dxa"/>
              <w:left w:w="0" w:type="dxa"/>
              <w:bottom w:w="0" w:type="dxa"/>
              <w:right w:w="227" w:type="dxa"/>
            </w:tcMar>
          </w:tcPr>
          <w:p w:rsidR="00C27BD0" w:rsidRDefault="00C27BD0">
            <w:pPr>
              <w:rPr>
                <w:sz w:val="20"/>
                <w:szCs w:val="20"/>
              </w:rPr>
            </w:pPr>
          </w:p>
        </w:tc>
        <w:tc>
          <w:tcPr>
            <w:tcW w:w="2736" w:type="dxa"/>
            <w:tcBorders>
              <w:top w:val="nil"/>
              <w:left w:val="nil"/>
              <w:bottom w:val="nil"/>
              <w:right w:val="nil"/>
            </w:tcBorders>
            <w:shd w:val="clear" w:color="auto" w:fill="auto"/>
            <w:tcMar>
              <w:top w:w="0" w:type="dxa"/>
              <w:left w:w="0" w:type="dxa"/>
              <w:bottom w:w="0" w:type="dxa"/>
              <w:right w:w="227" w:type="dxa"/>
            </w:tcMar>
          </w:tcPr>
          <w:p w:rsidR="00C27BD0" w:rsidRDefault="00C27BD0">
            <w:pPr>
              <w:rPr>
                <w:sz w:val="20"/>
                <w:szCs w:val="20"/>
              </w:rPr>
            </w:pPr>
          </w:p>
        </w:tc>
      </w:tr>
    </w:tbl>
    <w:p w:rsidR="00C27BD0" w:rsidRDefault="00C27BD0"/>
    <w:sectPr w:rsidR="00C27BD0">
      <w:headerReference w:type="default" r:id="rId21"/>
      <w:footerReference w:type="default" r:id="rId22"/>
      <w:headerReference w:type="first" r:id="rId23"/>
      <w:footerReference w:type="first" r:id="rId24"/>
      <w:pgSz w:w="11906" w:h="16838"/>
      <w:pgMar w:top="1701" w:right="1020" w:bottom="1701" w:left="1134" w:header="850"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F1A77" w:rsidRDefault="004F1A77">
      <w:pPr>
        <w:spacing w:line="240" w:lineRule="auto"/>
      </w:pPr>
      <w:r>
        <w:separator/>
      </w:r>
    </w:p>
  </w:endnote>
  <w:endnote w:type="continuationSeparator" w:id="0">
    <w:p w:rsidR="004F1A77" w:rsidRDefault="004F1A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Look w:val="04A0" w:firstRow="1" w:lastRow="0" w:firstColumn="1" w:lastColumn="0" w:noHBand="0" w:noVBand="1"/>
    </w:tblPr>
    <w:tblGrid>
      <w:gridCol w:w="9557"/>
      <w:gridCol w:w="195"/>
    </w:tblGrid>
    <w:tr w:rsidR="00C27BD0">
      <w:tc>
        <w:tcPr>
          <w:tcW w:w="4900" w:type="pct"/>
          <w:tcBorders>
            <w:top w:val="nil"/>
            <w:left w:val="nil"/>
            <w:bottom w:val="nil"/>
            <w:right w:val="nil"/>
          </w:tcBorders>
          <w:shd w:val="clear" w:color="auto" w:fill="auto"/>
          <w:tcMar>
            <w:top w:w="0" w:type="dxa"/>
            <w:left w:w="0" w:type="dxa"/>
            <w:bottom w:w="0" w:type="dxa"/>
            <w:right w:w="0" w:type="dxa"/>
          </w:tcMar>
          <w:vAlign w:val="bottom"/>
        </w:tcPr>
        <w:tbl>
          <w:tblPr>
            <w:tblW w:w="5000" w:type="pct"/>
            <w:tblCellSpacing w:w="0" w:type="dxa"/>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
            <w:gridCol w:w="93"/>
            <w:gridCol w:w="1590"/>
            <w:gridCol w:w="35"/>
            <w:gridCol w:w="93"/>
            <w:gridCol w:w="1590"/>
            <w:gridCol w:w="35"/>
            <w:gridCol w:w="93"/>
            <w:gridCol w:w="2151"/>
            <w:gridCol w:w="35"/>
            <w:gridCol w:w="94"/>
            <w:gridCol w:w="1965"/>
            <w:gridCol w:w="35"/>
            <w:gridCol w:w="94"/>
            <w:gridCol w:w="1591"/>
            <w:gridCol w:w="20"/>
          </w:tblGrid>
          <w:tr w:rsidR="00C27BD0">
            <w:trPr>
              <w:tblCellSpacing w:w="0" w:type="dxa"/>
            </w:trPr>
            <w:tc>
              <w:tcPr>
                <w:tcW w:w="15" w:type="dxa"/>
                <w:tcBorders>
                  <w:left w:val="single" w:sz="6" w:space="0" w:color="000000"/>
                </w:tcBorders>
                <w:shd w:val="clear" w:color="auto" w:fill="FFFFFF"/>
                <w:vAlign w:val="center"/>
                <w:hideMark/>
              </w:tcPr>
              <w:p w:rsidR="00C27BD0"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C27BD0" w:rsidRDefault="00000000">
                <w:pPr>
                  <w:rPr>
                    <w:sz w:val="10"/>
                    <w:szCs w:val="10"/>
                  </w:rPr>
                </w:pPr>
                <w:r>
                  <w:rPr>
                    <w:sz w:val="10"/>
                    <w:szCs w:val="10"/>
                  </w:rPr>
                  <w:t> </w:t>
                </w:r>
              </w:p>
            </w:tc>
            <w:tc>
              <w:tcPr>
                <w:tcW w:w="850" w:type="pct"/>
                <w:vAlign w:val="center"/>
                <w:hideMark/>
              </w:tcPr>
              <w:p w:rsidR="00C27BD0" w:rsidRDefault="00000000">
                <w:pPr>
                  <w:rPr>
                    <w:sz w:val="10"/>
                    <w:szCs w:val="10"/>
                  </w:rPr>
                </w:pPr>
                <w:r>
                  <w:rPr>
                    <w:b/>
                    <w:bCs/>
                    <w:sz w:val="10"/>
                    <w:szCs w:val="10"/>
                  </w:rPr>
                  <w:t>TOTO Europe GmbH</w:t>
                </w:r>
                <w:r>
                  <w:rPr>
                    <w:b/>
                    <w:bCs/>
                    <w:sz w:val="10"/>
                    <w:szCs w:val="10"/>
                  </w:rPr>
                  <w:br/>
                </w:r>
                <w:r>
                  <w:rPr>
                    <w:sz w:val="10"/>
                    <w:szCs w:val="10"/>
                  </w:rPr>
                  <w:t>Zollhof 2</w:t>
                </w:r>
                <w:r>
                  <w:rPr>
                    <w:sz w:val="10"/>
                    <w:szCs w:val="10"/>
                  </w:rPr>
                  <w:br/>
                  <w:t>40221 Düsseldorf</w:t>
                </w:r>
                <w:r>
                  <w:rPr>
                    <w:sz w:val="10"/>
                    <w:szCs w:val="10"/>
                  </w:rPr>
                  <w:br/>
                  <w:t>Germany</w:t>
                </w:r>
              </w:p>
            </w:tc>
            <w:tc>
              <w:tcPr>
                <w:tcW w:w="15" w:type="dxa"/>
                <w:tcBorders>
                  <w:left w:val="single" w:sz="6" w:space="0" w:color="000000"/>
                </w:tcBorders>
                <w:shd w:val="clear" w:color="auto" w:fill="FFFFFF"/>
                <w:vAlign w:val="center"/>
                <w:hideMark/>
              </w:tcPr>
              <w:p w:rsidR="00C27BD0"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C27BD0" w:rsidRDefault="00000000">
                <w:pPr>
                  <w:rPr>
                    <w:sz w:val="10"/>
                    <w:szCs w:val="10"/>
                  </w:rPr>
                </w:pPr>
                <w:r>
                  <w:rPr>
                    <w:sz w:val="10"/>
                    <w:szCs w:val="10"/>
                  </w:rPr>
                  <w:t> </w:t>
                </w:r>
              </w:p>
            </w:tc>
            <w:tc>
              <w:tcPr>
                <w:tcW w:w="850" w:type="pct"/>
                <w:vAlign w:val="center"/>
                <w:hideMark/>
              </w:tcPr>
              <w:p w:rsidR="00C27BD0" w:rsidRDefault="00000000">
                <w:pPr>
                  <w:rPr>
                    <w:sz w:val="10"/>
                    <w:szCs w:val="10"/>
                  </w:rPr>
                </w:pPr>
                <w:r>
                  <w:rPr>
                    <w:sz w:val="10"/>
                    <w:szCs w:val="10"/>
                  </w:rPr>
                  <w:t>T +49 (0)211 2 73 08-200</w:t>
                </w:r>
                <w:r>
                  <w:rPr>
                    <w:sz w:val="10"/>
                    <w:szCs w:val="10"/>
                  </w:rPr>
                  <w:br/>
                  <w:t>F +49 (0)211 2 73 08-202</w:t>
                </w:r>
                <w:r>
                  <w:rPr>
                    <w:sz w:val="10"/>
                    <w:szCs w:val="10"/>
                  </w:rPr>
                  <w:br/>
                  <w:t>teu.info@toto.com</w:t>
                </w:r>
                <w:r>
                  <w:rPr>
                    <w:sz w:val="10"/>
                    <w:szCs w:val="10"/>
                  </w:rPr>
                  <w:br/>
                  <w:t>eu.toto.com</w:t>
                </w:r>
              </w:p>
            </w:tc>
            <w:tc>
              <w:tcPr>
                <w:tcW w:w="15" w:type="dxa"/>
                <w:tcBorders>
                  <w:left w:val="single" w:sz="6" w:space="0" w:color="000000"/>
                </w:tcBorders>
                <w:shd w:val="clear" w:color="auto" w:fill="FFFFFF"/>
                <w:vAlign w:val="center"/>
                <w:hideMark/>
              </w:tcPr>
              <w:p w:rsidR="00C27BD0"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C27BD0" w:rsidRDefault="00000000">
                <w:pPr>
                  <w:rPr>
                    <w:sz w:val="10"/>
                    <w:szCs w:val="10"/>
                  </w:rPr>
                </w:pPr>
                <w:r>
                  <w:rPr>
                    <w:sz w:val="10"/>
                    <w:szCs w:val="10"/>
                  </w:rPr>
                  <w:t> </w:t>
                </w:r>
              </w:p>
            </w:tc>
            <w:tc>
              <w:tcPr>
                <w:tcW w:w="1150" w:type="pct"/>
                <w:vAlign w:val="center"/>
                <w:hideMark/>
              </w:tcPr>
              <w:p w:rsidR="00C27BD0" w:rsidRDefault="00000000">
                <w:pPr>
                  <w:rPr>
                    <w:sz w:val="10"/>
                    <w:szCs w:val="10"/>
                  </w:rPr>
                </w:pPr>
                <w:r>
                  <w:rPr>
                    <w:sz w:val="10"/>
                    <w:szCs w:val="10"/>
                  </w:rPr>
                  <w:t>Commerzbank AG Essen</w:t>
                </w:r>
                <w:r>
                  <w:rPr>
                    <w:sz w:val="10"/>
                    <w:szCs w:val="10"/>
                  </w:rPr>
                  <w:br/>
                  <w:t xml:space="preserve">BLZ: 360 400 </w:t>
                </w:r>
                <w:proofErr w:type="gramStart"/>
                <w:r>
                  <w:rPr>
                    <w:sz w:val="10"/>
                    <w:szCs w:val="10"/>
                  </w:rPr>
                  <w:t>39 .</w:t>
                </w:r>
                <w:proofErr w:type="gramEnd"/>
                <w:r>
                  <w:rPr>
                    <w:sz w:val="10"/>
                    <w:szCs w:val="10"/>
                  </w:rPr>
                  <w:t xml:space="preserve"> KTO: 150 6211</w:t>
                </w:r>
                <w:r>
                  <w:rPr>
                    <w:sz w:val="10"/>
                    <w:szCs w:val="10"/>
                  </w:rPr>
                  <w:br/>
                  <w:t>IBAN: DE 32 36040039 0150621100</w:t>
                </w:r>
                <w:r>
                  <w:rPr>
                    <w:sz w:val="10"/>
                    <w:szCs w:val="10"/>
                  </w:rPr>
                  <w:br/>
                  <w:t>BIC: COBADEFF360</w:t>
                </w:r>
              </w:p>
            </w:tc>
            <w:tc>
              <w:tcPr>
                <w:tcW w:w="15" w:type="dxa"/>
                <w:tcBorders>
                  <w:left w:val="single" w:sz="6" w:space="0" w:color="000000"/>
                </w:tcBorders>
                <w:shd w:val="clear" w:color="auto" w:fill="FFFFFF"/>
                <w:vAlign w:val="center"/>
                <w:hideMark/>
              </w:tcPr>
              <w:p w:rsidR="00C27BD0"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C27BD0" w:rsidRDefault="00000000">
                <w:pPr>
                  <w:rPr>
                    <w:sz w:val="10"/>
                    <w:szCs w:val="10"/>
                  </w:rPr>
                </w:pPr>
                <w:r>
                  <w:rPr>
                    <w:sz w:val="10"/>
                    <w:szCs w:val="10"/>
                  </w:rPr>
                  <w:t> </w:t>
                </w:r>
              </w:p>
            </w:tc>
            <w:tc>
              <w:tcPr>
                <w:tcW w:w="1050" w:type="pct"/>
                <w:vAlign w:val="center"/>
                <w:hideMark/>
              </w:tcPr>
              <w:p w:rsidR="00C27BD0" w:rsidRDefault="00000000">
                <w:pPr>
                  <w:rPr>
                    <w:sz w:val="10"/>
                    <w:szCs w:val="10"/>
                  </w:rPr>
                </w:pPr>
                <w:r>
                  <w:rPr>
                    <w:sz w:val="10"/>
                    <w:szCs w:val="10"/>
                  </w:rPr>
                  <w:t xml:space="preserve">AG </w:t>
                </w:r>
                <w:proofErr w:type="gramStart"/>
                <w:r>
                  <w:rPr>
                    <w:sz w:val="10"/>
                    <w:szCs w:val="10"/>
                  </w:rPr>
                  <w:t>Düsseldorf .</w:t>
                </w:r>
                <w:proofErr w:type="gramEnd"/>
                <w:r>
                  <w:rPr>
                    <w:sz w:val="10"/>
                    <w:szCs w:val="10"/>
                  </w:rPr>
                  <w:t xml:space="preserve"> HRB 24827</w:t>
                </w:r>
                <w:r>
                  <w:rPr>
                    <w:sz w:val="10"/>
                    <w:szCs w:val="10"/>
                  </w:rPr>
                  <w:br/>
                  <w:t>Geschäftsführer:</w:t>
                </w:r>
                <w:r>
                  <w:rPr>
                    <w:sz w:val="10"/>
                    <w:szCs w:val="10"/>
                  </w:rPr>
                  <w:br/>
                </w:r>
                <w:proofErr w:type="spellStart"/>
                <w:r>
                  <w:rPr>
                    <w:sz w:val="10"/>
                    <w:szCs w:val="10"/>
                  </w:rPr>
                  <w:t>Tatsuhiko</w:t>
                </w:r>
                <w:proofErr w:type="spellEnd"/>
                <w:r>
                  <w:rPr>
                    <w:sz w:val="10"/>
                    <w:szCs w:val="10"/>
                  </w:rPr>
                  <w:t xml:space="preserve"> </w:t>
                </w:r>
                <w:proofErr w:type="spellStart"/>
                <w:r>
                  <w:rPr>
                    <w:sz w:val="10"/>
                    <w:szCs w:val="10"/>
                  </w:rPr>
                  <w:t>Yasaka</w:t>
                </w:r>
                <w:proofErr w:type="spellEnd"/>
                <w:r>
                  <w:rPr>
                    <w:sz w:val="10"/>
                    <w:szCs w:val="10"/>
                  </w:rPr>
                  <w:br/>
                  <w:t>  </w:t>
                </w:r>
              </w:p>
            </w:tc>
            <w:tc>
              <w:tcPr>
                <w:tcW w:w="15" w:type="dxa"/>
                <w:tcBorders>
                  <w:left w:val="single" w:sz="6" w:space="0" w:color="000000"/>
                </w:tcBorders>
                <w:shd w:val="clear" w:color="auto" w:fill="FFFFFF"/>
                <w:vAlign w:val="center"/>
                <w:hideMark/>
              </w:tcPr>
              <w:p w:rsidR="00C27BD0"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C27BD0" w:rsidRDefault="00000000">
                <w:pPr>
                  <w:rPr>
                    <w:sz w:val="10"/>
                    <w:szCs w:val="10"/>
                  </w:rPr>
                </w:pPr>
                <w:r>
                  <w:rPr>
                    <w:sz w:val="10"/>
                    <w:szCs w:val="10"/>
                  </w:rPr>
                  <w:t> </w:t>
                </w:r>
              </w:p>
            </w:tc>
            <w:tc>
              <w:tcPr>
                <w:tcW w:w="850" w:type="pct"/>
                <w:vAlign w:val="center"/>
                <w:hideMark/>
              </w:tcPr>
              <w:p w:rsidR="00C27BD0" w:rsidRDefault="00000000">
                <w:pPr>
                  <w:rPr>
                    <w:sz w:val="10"/>
                    <w:szCs w:val="10"/>
                  </w:rPr>
                </w:pPr>
                <w:r>
                  <w:rPr>
                    <w:sz w:val="10"/>
                    <w:szCs w:val="10"/>
                  </w:rPr>
                  <w:t>WEEE-Reg.-Nr. DE 88787165</w:t>
                </w:r>
                <w:r>
                  <w:rPr>
                    <w:sz w:val="10"/>
                    <w:szCs w:val="10"/>
                  </w:rPr>
                  <w:br/>
                  <w:t>USTID-NR: DE258501442</w:t>
                </w:r>
                <w:r>
                  <w:rPr>
                    <w:sz w:val="10"/>
                    <w:szCs w:val="10"/>
                  </w:rPr>
                  <w:br/>
                  <w:t>ST-NR: 106/5727/1323</w:t>
                </w:r>
                <w:r>
                  <w:rPr>
                    <w:sz w:val="10"/>
                    <w:szCs w:val="10"/>
                  </w:rPr>
                  <w:br/>
                  <w:t>  </w:t>
                </w:r>
              </w:p>
            </w:tc>
            <w:tc>
              <w:tcPr>
                <w:tcW w:w="28" w:type="dxa"/>
                <w:vAlign w:val="center"/>
                <w:hideMark/>
              </w:tcPr>
              <w:p w:rsidR="00C27BD0" w:rsidRDefault="00000000">
                <w:pPr>
                  <w:rPr>
                    <w:sz w:val="10"/>
                    <w:szCs w:val="10"/>
                  </w:rPr>
                </w:pPr>
                <w:r>
                  <w:rPr>
                    <w:sz w:val="10"/>
                    <w:szCs w:val="10"/>
                  </w:rPr>
                  <w:t> </w:t>
                </w:r>
              </w:p>
            </w:tc>
          </w:tr>
        </w:tbl>
        <w:p w:rsidR="00C27BD0" w:rsidRDefault="00C27BD0">
          <w:pPr>
            <w:rPr>
              <w:sz w:val="10"/>
              <w:szCs w:val="10"/>
            </w:rPr>
          </w:pP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C27BD0" w:rsidRDefault="00000000">
          <w:pPr>
            <w:rPr>
              <w:sz w:val="10"/>
              <w:szCs w:val="10"/>
            </w:rPr>
          </w:pPr>
          <w:r>
            <w:rPr>
              <w:sz w:val="10"/>
              <w:szCs w:val="10"/>
            </w:rPr>
            <w:fldChar w:fldCharType="begin"/>
          </w:r>
          <w:r>
            <w:rPr>
              <w:sz w:val="10"/>
              <w:szCs w:val="10"/>
            </w:rPr>
            <w:instrText>PAGE \* ARABIC</w:instrText>
          </w:r>
          <w:r>
            <w:rPr>
              <w:sz w:val="10"/>
              <w:szCs w:val="10"/>
            </w:rPr>
            <w:fldChar w:fldCharType="separate"/>
          </w:r>
          <w:r>
            <w:rPr>
              <w:sz w:val="10"/>
              <w:szCs w:val="10"/>
            </w:rPr>
            <w:t>#</w:t>
          </w:r>
          <w:r>
            <w:rPr>
              <w:sz w:val="10"/>
              <w:szCs w:val="10"/>
            </w:rPr>
            <w:fldChar w:fldCharType="end"/>
          </w:r>
        </w:p>
      </w:tc>
    </w:tr>
  </w:tbl>
  <w:p w:rsidR="00C27BD0" w:rsidRDefault="00C27BD0">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C27BD0">
      <w:tc>
        <w:tcPr>
          <w:tcW w:w="4900" w:type="pct"/>
          <w:tcBorders>
            <w:top w:val="nil"/>
            <w:left w:val="nil"/>
            <w:bottom w:val="nil"/>
            <w:right w:val="nil"/>
          </w:tcBorders>
          <w:shd w:val="clear" w:color="auto" w:fill="auto"/>
          <w:tcMar>
            <w:top w:w="0" w:type="dxa"/>
            <w:left w:w="0" w:type="dxa"/>
            <w:bottom w:w="0" w:type="dxa"/>
            <w:right w:w="0" w:type="dxa"/>
          </w:tcMar>
          <w:vAlign w:val="bottom"/>
        </w:tcPr>
        <w:tbl>
          <w:tblPr>
            <w:tblW w:w="5000" w:type="pct"/>
            <w:tblCellSpacing w:w="0" w:type="dxa"/>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35"/>
            <w:gridCol w:w="93"/>
            <w:gridCol w:w="1590"/>
            <w:gridCol w:w="35"/>
            <w:gridCol w:w="93"/>
            <w:gridCol w:w="1590"/>
            <w:gridCol w:w="35"/>
            <w:gridCol w:w="93"/>
            <w:gridCol w:w="2151"/>
            <w:gridCol w:w="35"/>
            <w:gridCol w:w="94"/>
            <w:gridCol w:w="1965"/>
            <w:gridCol w:w="35"/>
            <w:gridCol w:w="94"/>
            <w:gridCol w:w="1591"/>
            <w:gridCol w:w="20"/>
          </w:tblGrid>
          <w:tr w:rsidR="00C27BD0">
            <w:trPr>
              <w:tblCellSpacing w:w="0" w:type="dxa"/>
            </w:trPr>
            <w:tc>
              <w:tcPr>
                <w:tcW w:w="15" w:type="dxa"/>
                <w:tcBorders>
                  <w:left w:val="single" w:sz="6" w:space="0" w:color="000000"/>
                </w:tcBorders>
                <w:shd w:val="clear" w:color="auto" w:fill="FFFFFF"/>
                <w:vAlign w:val="center"/>
                <w:hideMark/>
              </w:tcPr>
              <w:p w:rsidR="00C27BD0"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C27BD0" w:rsidRDefault="00000000">
                <w:pPr>
                  <w:rPr>
                    <w:sz w:val="10"/>
                    <w:szCs w:val="10"/>
                  </w:rPr>
                </w:pPr>
                <w:r>
                  <w:rPr>
                    <w:sz w:val="10"/>
                    <w:szCs w:val="10"/>
                  </w:rPr>
                  <w:t> </w:t>
                </w:r>
              </w:p>
            </w:tc>
            <w:tc>
              <w:tcPr>
                <w:tcW w:w="850" w:type="pct"/>
                <w:vAlign w:val="center"/>
                <w:hideMark/>
              </w:tcPr>
              <w:p w:rsidR="00C27BD0" w:rsidRDefault="00000000">
                <w:pPr>
                  <w:rPr>
                    <w:sz w:val="10"/>
                    <w:szCs w:val="10"/>
                  </w:rPr>
                </w:pPr>
                <w:r>
                  <w:rPr>
                    <w:b/>
                    <w:bCs/>
                    <w:sz w:val="10"/>
                    <w:szCs w:val="10"/>
                  </w:rPr>
                  <w:t>TOTO Europe GmbH</w:t>
                </w:r>
                <w:r>
                  <w:rPr>
                    <w:b/>
                    <w:bCs/>
                    <w:sz w:val="10"/>
                    <w:szCs w:val="10"/>
                  </w:rPr>
                  <w:br/>
                </w:r>
                <w:r>
                  <w:rPr>
                    <w:sz w:val="10"/>
                    <w:szCs w:val="10"/>
                  </w:rPr>
                  <w:t>Zollhof 2</w:t>
                </w:r>
                <w:r>
                  <w:rPr>
                    <w:sz w:val="10"/>
                    <w:szCs w:val="10"/>
                  </w:rPr>
                  <w:br/>
                  <w:t>40221 Düsseldorf</w:t>
                </w:r>
                <w:r>
                  <w:rPr>
                    <w:sz w:val="10"/>
                    <w:szCs w:val="10"/>
                  </w:rPr>
                  <w:br/>
                  <w:t>Germany</w:t>
                </w:r>
              </w:p>
            </w:tc>
            <w:tc>
              <w:tcPr>
                <w:tcW w:w="15" w:type="dxa"/>
                <w:tcBorders>
                  <w:left w:val="single" w:sz="6" w:space="0" w:color="000000"/>
                </w:tcBorders>
                <w:shd w:val="clear" w:color="auto" w:fill="FFFFFF"/>
                <w:vAlign w:val="center"/>
                <w:hideMark/>
              </w:tcPr>
              <w:p w:rsidR="00C27BD0"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C27BD0" w:rsidRDefault="00000000">
                <w:pPr>
                  <w:rPr>
                    <w:sz w:val="10"/>
                    <w:szCs w:val="10"/>
                  </w:rPr>
                </w:pPr>
                <w:r>
                  <w:rPr>
                    <w:sz w:val="10"/>
                    <w:szCs w:val="10"/>
                  </w:rPr>
                  <w:t> </w:t>
                </w:r>
              </w:p>
            </w:tc>
            <w:tc>
              <w:tcPr>
                <w:tcW w:w="850" w:type="pct"/>
                <w:vAlign w:val="center"/>
                <w:hideMark/>
              </w:tcPr>
              <w:p w:rsidR="00C27BD0" w:rsidRDefault="00000000">
                <w:pPr>
                  <w:rPr>
                    <w:sz w:val="10"/>
                    <w:szCs w:val="10"/>
                  </w:rPr>
                </w:pPr>
                <w:r>
                  <w:rPr>
                    <w:sz w:val="10"/>
                    <w:szCs w:val="10"/>
                  </w:rPr>
                  <w:t>T +49 (0)211 2 73 08-200</w:t>
                </w:r>
                <w:r>
                  <w:rPr>
                    <w:sz w:val="10"/>
                    <w:szCs w:val="10"/>
                  </w:rPr>
                  <w:br/>
                  <w:t>F +49 (0)211 2 73 08-202</w:t>
                </w:r>
                <w:r>
                  <w:rPr>
                    <w:sz w:val="10"/>
                    <w:szCs w:val="10"/>
                  </w:rPr>
                  <w:br/>
                  <w:t>teu.info@toto.com</w:t>
                </w:r>
                <w:r>
                  <w:rPr>
                    <w:sz w:val="10"/>
                    <w:szCs w:val="10"/>
                  </w:rPr>
                  <w:br/>
                  <w:t>eu.toto.com</w:t>
                </w:r>
              </w:p>
            </w:tc>
            <w:tc>
              <w:tcPr>
                <w:tcW w:w="15" w:type="dxa"/>
                <w:tcBorders>
                  <w:left w:val="single" w:sz="6" w:space="0" w:color="000000"/>
                </w:tcBorders>
                <w:shd w:val="clear" w:color="auto" w:fill="FFFFFF"/>
                <w:vAlign w:val="center"/>
                <w:hideMark/>
              </w:tcPr>
              <w:p w:rsidR="00C27BD0"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C27BD0" w:rsidRDefault="00000000">
                <w:pPr>
                  <w:rPr>
                    <w:sz w:val="10"/>
                    <w:szCs w:val="10"/>
                  </w:rPr>
                </w:pPr>
                <w:r>
                  <w:rPr>
                    <w:sz w:val="10"/>
                    <w:szCs w:val="10"/>
                  </w:rPr>
                  <w:t> </w:t>
                </w:r>
              </w:p>
            </w:tc>
            <w:tc>
              <w:tcPr>
                <w:tcW w:w="1150" w:type="pct"/>
                <w:vAlign w:val="center"/>
                <w:hideMark/>
              </w:tcPr>
              <w:p w:rsidR="00C27BD0" w:rsidRDefault="00000000">
                <w:pPr>
                  <w:rPr>
                    <w:sz w:val="10"/>
                    <w:szCs w:val="10"/>
                  </w:rPr>
                </w:pPr>
                <w:r>
                  <w:rPr>
                    <w:sz w:val="10"/>
                    <w:szCs w:val="10"/>
                  </w:rPr>
                  <w:t>Commerzbank AG Essen</w:t>
                </w:r>
                <w:r>
                  <w:rPr>
                    <w:sz w:val="10"/>
                    <w:szCs w:val="10"/>
                  </w:rPr>
                  <w:br/>
                  <w:t xml:space="preserve">BLZ: 360 400 </w:t>
                </w:r>
                <w:proofErr w:type="gramStart"/>
                <w:r>
                  <w:rPr>
                    <w:sz w:val="10"/>
                    <w:szCs w:val="10"/>
                  </w:rPr>
                  <w:t>39 .</w:t>
                </w:r>
                <w:proofErr w:type="gramEnd"/>
                <w:r>
                  <w:rPr>
                    <w:sz w:val="10"/>
                    <w:szCs w:val="10"/>
                  </w:rPr>
                  <w:t xml:space="preserve"> KTO: 150 6211</w:t>
                </w:r>
                <w:r>
                  <w:rPr>
                    <w:sz w:val="10"/>
                    <w:szCs w:val="10"/>
                  </w:rPr>
                  <w:br/>
                  <w:t>IBAN: DE 32 36040039 0150621100</w:t>
                </w:r>
                <w:r>
                  <w:rPr>
                    <w:sz w:val="10"/>
                    <w:szCs w:val="10"/>
                  </w:rPr>
                  <w:br/>
                  <w:t>BIC: COBADEFF360</w:t>
                </w:r>
              </w:p>
            </w:tc>
            <w:tc>
              <w:tcPr>
                <w:tcW w:w="15" w:type="dxa"/>
                <w:tcBorders>
                  <w:left w:val="single" w:sz="6" w:space="0" w:color="000000"/>
                </w:tcBorders>
                <w:shd w:val="clear" w:color="auto" w:fill="FFFFFF"/>
                <w:vAlign w:val="center"/>
                <w:hideMark/>
              </w:tcPr>
              <w:p w:rsidR="00C27BD0"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C27BD0" w:rsidRDefault="00000000">
                <w:pPr>
                  <w:rPr>
                    <w:sz w:val="10"/>
                    <w:szCs w:val="10"/>
                  </w:rPr>
                </w:pPr>
                <w:r>
                  <w:rPr>
                    <w:sz w:val="10"/>
                    <w:szCs w:val="10"/>
                  </w:rPr>
                  <w:t> </w:t>
                </w:r>
              </w:p>
            </w:tc>
            <w:tc>
              <w:tcPr>
                <w:tcW w:w="1050" w:type="pct"/>
                <w:vAlign w:val="center"/>
                <w:hideMark/>
              </w:tcPr>
              <w:p w:rsidR="00C27BD0" w:rsidRDefault="00000000">
                <w:pPr>
                  <w:rPr>
                    <w:sz w:val="10"/>
                    <w:szCs w:val="10"/>
                  </w:rPr>
                </w:pPr>
                <w:r>
                  <w:rPr>
                    <w:sz w:val="10"/>
                    <w:szCs w:val="10"/>
                  </w:rPr>
                  <w:t xml:space="preserve">AG </w:t>
                </w:r>
                <w:proofErr w:type="gramStart"/>
                <w:r>
                  <w:rPr>
                    <w:sz w:val="10"/>
                    <w:szCs w:val="10"/>
                  </w:rPr>
                  <w:t>Düsseldorf .</w:t>
                </w:r>
                <w:proofErr w:type="gramEnd"/>
                <w:r>
                  <w:rPr>
                    <w:sz w:val="10"/>
                    <w:szCs w:val="10"/>
                  </w:rPr>
                  <w:t xml:space="preserve"> HRB 24827</w:t>
                </w:r>
                <w:r>
                  <w:rPr>
                    <w:sz w:val="10"/>
                    <w:szCs w:val="10"/>
                  </w:rPr>
                  <w:br/>
                  <w:t>Geschäftsführer:</w:t>
                </w:r>
                <w:r>
                  <w:rPr>
                    <w:sz w:val="10"/>
                    <w:szCs w:val="10"/>
                  </w:rPr>
                  <w:br/>
                </w:r>
                <w:proofErr w:type="spellStart"/>
                <w:r>
                  <w:rPr>
                    <w:sz w:val="10"/>
                    <w:szCs w:val="10"/>
                  </w:rPr>
                  <w:t>Tatsuhiko</w:t>
                </w:r>
                <w:proofErr w:type="spellEnd"/>
                <w:r>
                  <w:rPr>
                    <w:sz w:val="10"/>
                    <w:szCs w:val="10"/>
                  </w:rPr>
                  <w:t xml:space="preserve"> </w:t>
                </w:r>
                <w:proofErr w:type="spellStart"/>
                <w:r>
                  <w:rPr>
                    <w:sz w:val="10"/>
                    <w:szCs w:val="10"/>
                  </w:rPr>
                  <w:t>Yasaka</w:t>
                </w:r>
                <w:proofErr w:type="spellEnd"/>
                <w:r>
                  <w:rPr>
                    <w:sz w:val="10"/>
                    <w:szCs w:val="10"/>
                  </w:rPr>
                  <w:br/>
                  <w:t>  </w:t>
                </w:r>
              </w:p>
            </w:tc>
            <w:tc>
              <w:tcPr>
                <w:tcW w:w="15" w:type="dxa"/>
                <w:tcBorders>
                  <w:left w:val="single" w:sz="6" w:space="0" w:color="000000"/>
                </w:tcBorders>
                <w:shd w:val="clear" w:color="auto" w:fill="FFFFFF"/>
                <w:vAlign w:val="center"/>
                <w:hideMark/>
              </w:tcPr>
              <w:p w:rsidR="00C27BD0" w:rsidRDefault="00000000">
                <w:pPr>
                  <w:shd w:val="clear" w:color="auto" w:fill="FFFFFF"/>
                  <w:rPr>
                    <w:sz w:val="10"/>
                    <w:szCs w:val="10"/>
                    <w:shd w:val="clear" w:color="auto" w:fill="FFFFFF"/>
                  </w:rPr>
                </w:pPr>
                <w:r>
                  <w:rPr>
                    <w:sz w:val="10"/>
                    <w:szCs w:val="10"/>
                    <w:shd w:val="clear" w:color="auto" w:fill="FFFFFF"/>
                  </w:rPr>
                  <w:t> </w:t>
                </w:r>
              </w:p>
            </w:tc>
            <w:tc>
              <w:tcPr>
                <w:tcW w:w="50" w:type="pct"/>
                <w:vAlign w:val="center"/>
                <w:hideMark/>
              </w:tcPr>
              <w:p w:rsidR="00C27BD0" w:rsidRDefault="00000000">
                <w:pPr>
                  <w:rPr>
                    <w:sz w:val="10"/>
                    <w:szCs w:val="10"/>
                  </w:rPr>
                </w:pPr>
                <w:r>
                  <w:rPr>
                    <w:sz w:val="10"/>
                    <w:szCs w:val="10"/>
                  </w:rPr>
                  <w:t> </w:t>
                </w:r>
              </w:p>
            </w:tc>
            <w:tc>
              <w:tcPr>
                <w:tcW w:w="850" w:type="pct"/>
                <w:vAlign w:val="center"/>
                <w:hideMark/>
              </w:tcPr>
              <w:p w:rsidR="00C27BD0" w:rsidRDefault="00000000">
                <w:pPr>
                  <w:rPr>
                    <w:sz w:val="10"/>
                    <w:szCs w:val="10"/>
                  </w:rPr>
                </w:pPr>
                <w:r>
                  <w:rPr>
                    <w:sz w:val="10"/>
                    <w:szCs w:val="10"/>
                  </w:rPr>
                  <w:t>WEEE-Reg.-Nr. DE 88787165</w:t>
                </w:r>
                <w:r>
                  <w:rPr>
                    <w:sz w:val="10"/>
                    <w:szCs w:val="10"/>
                  </w:rPr>
                  <w:br/>
                  <w:t>USTID-NR: DE258501442</w:t>
                </w:r>
                <w:r>
                  <w:rPr>
                    <w:sz w:val="10"/>
                    <w:szCs w:val="10"/>
                  </w:rPr>
                  <w:br/>
                  <w:t>ST-NR: 106/5727/1323</w:t>
                </w:r>
                <w:r>
                  <w:rPr>
                    <w:sz w:val="10"/>
                    <w:szCs w:val="10"/>
                  </w:rPr>
                  <w:br/>
                  <w:t>  </w:t>
                </w:r>
              </w:p>
            </w:tc>
            <w:tc>
              <w:tcPr>
                <w:tcW w:w="28" w:type="dxa"/>
                <w:vAlign w:val="center"/>
                <w:hideMark/>
              </w:tcPr>
              <w:p w:rsidR="00C27BD0" w:rsidRDefault="00000000">
                <w:pPr>
                  <w:rPr>
                    <w:sz w:val="10"/>
                    <w:szCs w:val="10"/>
                  </w:rPr>
                </w:pPr>
                <w:r>
                  <w:rPr>
                    <w:sz w:val="10"/>
                    <w:szCs w:val="10"/>
                  </w:rPr>
                  <w:t> </w:t>
                </w:r>
              </w:p>
            </w:tc>
          </w:tr>
        </w:tbl>
        <w:p w:rsidR="00C27BD0" w:rsidRDefault="00C27BD0">
          <w:pPr>
            <w:rPr>
              <w:sz w:val="10"/>
              <w:szCs w:val="10"/>
            </w:rPr>
          </w:pPr>
        </w:p>
      </w:tc>
      <w:tc>
        <w:tcPr>
          <w:tcW w:w="100" w:type="pct"/>
          <w:tcBorders>
            <w:top w:val="nil"/>
            <w:left w:val="nil"/>
            <w:bottom w:val="nil"/>
            <w:right w:val="nil"/>
          </w:tcBorders>
          <w:shd w:val="clear" w:color="auto" w:fill="auto"/>
          <w:tcMar>
            <w:top w:w="0" w:type="dxa"/>
            <w:left w:w="0" w:type="dxa"/>
            <w:bottom w:w="0" w:type="dxa"/>
            <w:right w:w="0" w:type="dxa"/>
          </w:tcMar>
          <w:vAlign w:val="bottom"/>
        </w:tcPr>
        <w:p w:rsidR="00C27BD0" w:rsidRDefault="00C27BD0">
          <w:pPr>
            <w:rPr>
              <w:sz w:val="10"/>
              <w:szCs w:val="10"/>
            </w:rPr>
          </w:pPr>
        </w:p>
      </w:tc>
    </w:tr>
  </w:tbl>
  <w:p w:rsidR="00C27BD0" w:rsidRDefault="00C27BD0">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F1A77" w:rsidRDefault="004F1A77">
      <w:pPr>
        <w:spacing w:line="240" w:lineRule="auto"/>
      </w:pPr>
      <w:r>
        <w:separator/>
      </w:r>
    </w:p>
  </w:footnote>
  <w:footnote w:type="continuationSeparator" w:id="0">
    <w:p w:rsidR="004F1A77" w:rsidRDefault="004F1A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27BD0" w:rsidRDefault="00000000">
    <w:r>
      <w:rPr>
        <w:noProof/>
      </w:rPr>
      <w:drawing>
        <wp:anchor distT="0" distB="0" distL="114300" distR="114300" simplePos="0" relativeHeight="251659264" behindDoc="0" locked="0" layoutInCell="0" allowOverlap="0">
          <wp:simplePos x="0" y="0"/>
          <wp:positionH relativeFrom="page">
            <wp:posOffset>5723890</wp:posOffset>
          </wp:positionH>
          <wp:positionV relativeFrom="page">
            <wp:posOffset>396240</wp:posOffset>
          </wp:positionV>
          <wp:extent cx="1368425" cy="31813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368425" cy="318135"/>
                  </a:xfrm>
                  <a:prstGeom prst="rect">
                    <a:avLst/>
                  </a:prstGeom>
                </pic:spPr>
              </pic:pic>
            </a:graphicData>
          </a:graphic>
        </wp:anchor>
      </w:drawing>
    </w:r>
    <w:r>
      <w:rPr>
        <w:rFonts w:eastAsia="Arial"/>
        <w:b/>
        <w:bCs/>
        <w:sz w:val="24"/>
        <w:szCs w:val="24"/>
      </w:rPr>
      <w:t>Presse 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27BD0" w:rsidRDefault="00000000">
    <w:pPr>
      <w:rPr>
        <w:color w:val="343434"/>
      </w:rPr>
    </w:pPr>
    <w:r>
      <w:rPr>
        <w:noProof/>
        <w:color w:val="343434"/>
      </w:rPr>
      <w:drawing>
        <wp:anchor distT="0" distB="0" distL="114300" distR="114300" simplePos="0" relativeHeight="251658240" behindDoc="0" locked="0" layoutInCell="0" allowOverlap="0">
          <wp:simplePos x="0" y="0"/>
          <wp:positionH relativeFrom="page">
            <wp:posOffset>5544185</wp:posOffset>
          </wp:positionH>
          <wp:positionV relativeFrom="page">
            <wp:posOffset>396240</wp:posOffset>
          </wp:positionV>
          <wp:extent cx="1368425" cy="31813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368425" cy="318135"/>
                  </a:xfrm>
                  <a:prstGeom prst="rect">
                    <a:avLst/>
                  </a:prstGeom>
                </pic:spPr>
              </pic:pic>
            </a:graphicData>
          </a:graphic>
        </wp:anchor>
      </w:drawing>
    </w:r>
    <w:r>
      <w:rPr>
        <w:rFonts w:eastAsia="Arial"/>
        <w:b/>
        <w:bCs/>
        <w:color w:val="343434"/>
        <w:sz w:val="24"/>
        <w:szCs w:val="24"/>
      </w:rPr>
      <w:t>Presse 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27BD0"/>
    <w:rsid w:val="00054D93"/>
    <w:rsid w:val="004F1A77"/>
    <w:rsid w:val="008B796E"/>
    <w:rsid w:val="0091722E"/>
    <w:rsid w:val="00C27BD0"/>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7E7454D"/>
  <w15:docId w15:val="{7274A7BC-B04A-B84B-A637-773360B7E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color w:val="000000"/>
        <w:sz w:val="22"/>
        <w:szCs w:val="22"/>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eader" Target="header1.xml"/><Relationship Id="rId7" Type="http://schemas.openxmlformats.org/officeDocument/2006/relationships/hyperlink" Target="https://eu.toto.com/de" TargetMode="Externa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hyperlink" Target="https://sciencebasedtargets.org/"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eader" Target="header2.xml"/><Relationship Id="rId10" Type="http://schemas.openxmlformats.org/officeDocument/2006/relationships/image" Target="media/image4.png"/><Relationship Id="rId19" Type="http://schemas.openxmlformats.org/officeDocument/2006/relationships/hyperlink" Target="https://www.there100.org/"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header2.xml.rels><?xml version="1.0" encoding="UTF-8" standalone="yes"?>
<Relationships xmlns="http://schemas.openxmlformats.org/package/2006/relationships"><Relationship Id="rId1" Type="http://schemas.openxmlformats.org/officeDocument/2006/relationships/image" Target="media/image1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1272</Words>
  <Characters>8019</Characters>
  <Application>Microsoft Office Word</Application>
  <DocSecurity>0</DocSecurity>
  <Lines>66</Lines>
  <Paragraphs>18</Paragraphs>
  <ScaleCrop>false</ScaleCrop>
  <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Wassermann</cp:lastModifiedBy>
  <cp:revision>4</cp:revision>
  <dcterms:created xsi:type="dcterms:W3CDTF">2026-08-13T12:25:00Z</dcterms:created>
  <dcterms:modified xsi:type="dcterms:W3CDTF">2026-08-13T12:33:00Z</dcterms:modified>
</cp:coreProperties>
</file>