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966DB26" w14:textId="1BB6C5F0" w:rsidR="00DA26A2" w:rsidRDefault="00B96153">
      <w:pPr>
        <w:rPr>
          <w:b/>
          <w:bCs/>
          <w:sz w:val="36"/>
          <w:szCs w:val="36"/>
        </w:rPr>
      </w:pPr>
      <w:r>
        <w:rPr>
          <w:b/>
          <w:bCs/>
          <w:sz w:val="36"/>
          <w:szCs w:val="36"/>
        </w:rPr>
        <w:t xml:space="preserve">Barrierefreie Sanitärräume in </w:t>
      </w:r>
      <w:r w:rsidR="00000000">
        <w:rPr>
          <w:b/>
          <w:bCs/>
          <w:sz w:val="36"/>
          <w:szCs w:val="36"/>
        </w:rPr>
        <w:t xml:space="preserve">Hamburgs Philosophenturm </w:t>
      </w:r>
    </w:p>
    <w:tbl>
      <w:tblPr>
        <w:tblStyle w:val="TabelleEinfach1"/>
        <w:tblW w:w="5000" w:type="pct"/>
        <w:tblLayout w:type="fixed"/>
        <w:tblCellMar>
          <w:left w:w="0" w:type="dxa"/>
          <w:right w:w="227" w:type="dxa"/>
        </w:tblCellMar>
        <w:tblLook w:val="04A0" w:firstRow="1" w:lastRow="0" w:firstColumn="1" w:lastColumn="0" w:noHBand="0" w:noVBand="1"/>
      </w:tblPr>
      <w:tblGrid>
        <w:gridCol w:w="2232"/>
        <w:gridCol w:w="2233"/>
        <w:gridCol w:w="2233"/>
        <w:gridCol w:w="690"/>
        <w:gridCol w:w="2364"/>
      </w:tblGrid>
      <w:tr w:rsidR="00DA26A2" w14:paraId="12A8A9BB" w14:textId="77777777">
        <w:tc>
          <w:tcPr>
            <w:tcW w:w="3400" w:type="pct"/>
            <w:gridSpan w:val="3"/>
            <w:tcBorders>
              <w:top w:val="nil"/>
              <w:left w:val="nil"/>
              <w:bottom w:val="nil"/>
              <w:right w:val="nil"/>
            </w:tcBorders>
            <w:shd w:val="clear" w:color="auto" w:fill="auto"/>
            <w:tcMar>
              <w:top w:w="0" w:type="dxa"/>
              <w:left w:w="0" w:type="dxa"/>
              <w:bottom w:w="0" w:type="dxa"/>
              <w:right w:w="227" w:type="dxa"/>
            </w:tcMar>
          </w:tcPr>
          <w:p w14:paraId="59F2388A" w14:textId="5B51787E" w:rsidR="00DA26A2" w:rsidRDefault="00000000">
            <w:pPr>
              <w:rPr>
                <w:sz w:val="32"/>
                <w:szCs w:val="32"/>
              </w:rPr>
            </w:pPr>
            <w:r>
              <w:rPr>
                <w:rFonts w:eastAsia="Roboto" w:cs="Roboto"/>
                <w:sz w:val="32"/>
                <w:szCs w:val="32"/>
              </w:rPr>
              <w:t>Bei der Sanierung des 52 Meter hohen Universitätsgebäudes sorgen barrierefreie Lösungen von HEWI für ein ausgewogenes Verhältnis von Funktionalität und Design</w:t>
            </w:r>
            <w:r w:rsidR="001B46DC">
              <w:rPr>
                <w:rFonts w:eastAsia="Roboto" w:cs="Roboto"/>
                <w:sz w:val="32"/>
                <w:szCs w:val="32"/>
              </w:rPr>
              <w:t>.</w:t>
            </w:r>
          </w:p>
        </w:tc>
        <w:tc>
          <w:tcPr>
            <w:tcW w:w="350" w:type="pct"/>
            <w:tcBorders>
              <w:top w:val="nil"/>
              <w:left w:val="nil"/>
              <w:bottom w:val="nil"/>
              <w:right w:val="nil"/>
            </w:tcBorders>
            <w:shd w:val="clear" w:color="auto" w:fill="auto"/>
            <w:tcMar>
              <w:top w:w="0" w:type="dxa"/>
              <w:left w:w="0" w:type="dxa"/>
              <w:bottom w:w="0" w:type="dxa"/>
              <w:right w:w="227" w:type="dxa"/>
            </w:tcMar>
          </w:tcPr>
          <w:p w14:paraId="3C6FEA03" w14:textId="77777777" w:rsidR="00DA26A2" w:rsidRDefault="00DA26A2">
            <w:pPr>
              <w:rPr>
                <w:sz w:val="32"/>
                <w:szCs w:val="32"/>
              </w:rPr>
            </w:pPr>
          </w:p>
        </w:tc>
        <w:tc>
          <w:tcPr>
            <w:tcW w:w="1200" w:type="pct"/>
            <w:tcBorders>
              <w:top w:val="nil"/>
              <w:left w:val="nil"/>
              <w:bottom w:val="nil"/>
              <w:right w:val="nil"/>
            </w:tcBorders>
            <w:shd w:val="clear" w:color="auto" w:fill="auto"/>
            <w:tcMar>
              <w:top w:w="0" w:type="dxa"/>
              <w:left w:w="0" w:type="dxa"/>
              <w:bottom w:w="0" w:type="dxa"/>
              <w:right w:w="227" w:type="dxa"/>
            </w:tcMar>
          </w:tcPr>
          <w:p w14:paraId="2C7153CD" w14:textId="77777777" w:rsidR="00DA26A2" w:rsidRDefault="00DA26A2">
            <w:pPr>
              <w:rPr>
                <w:sz w:val="32"/>
                <w:szCs w:val="32"/>
              </w:rPr>
            </w:pPr>
          </w:p>
        </w:tc>
      </w:tr>
      <w:tr w:rsidR="00DA26A2" w14:paraId="2DF6AC22" w14:textId="77777777">
        <w:trPr>
          <w:gridAfter w:val="2"/>
          <w:wAfter w:w="2232" w:type="dxa"/>
        </w:trPr>
        <w:tc>
          <w:tcPr>
            <w:tcW w:w="1656" w:type="dxa"/>
            <w:tcBorders>
              <w:top w:val="nil"/>
              <w:left w:val="nil"/>
              <w:bottom w:val="nil"/>
              <w:right w:val="nil"/>
            </w:tcBorders>
            <w:shd w:val="clear" w:color="auto" w:fill="auto"/>
            <w:tcMar>
              <w:top w:w="0" w:type="dxa"/>
              <w:left w:w="0" w:type="dxa"/>
              <w:bottom w:w="0" w:type="dxa"/>
              <w:right w:w="227" w:type="dxa"/>
            </w:tcMar>
          </w:tcPr>
          <w:p w14:paraId="6B841EA2" w14:textId="77777777" w:rsidR="00DA26A2" w:rsidRDefault="00DA26A2">
            <w:pPr>
              <w:rPr>
                <w:sz w:val="32"/>
                <w:szCs w:val="32"/>
              </w:rPr>
            </w:pPr>
          </w:p>
        </w:tc>
        <w:tc>
          <w:tcPr>
            <w:tcW w:w="1656" w:type="dxa"/>
            <w:tcBorders>
              <w:top w:val="nil"/>
              <w:left w:val="nil"/>
              <w:bottom w:val="nil"/>
              <w:right w:val="nil"/>
            </w:tcBorders>
            <w:shd w:val="clear" w:color="auto" w:fill="auto"/>
            <w:tcMar>
              <w:top w:w="0" w:type="dxa"/>
              <w:left w:w="0" w:type="dxa"/>
              <w:bottom w:w="0" w:type="dxa"/>
              <w:right w:w="227" w:type="dxa"/>
            </w:tcMar>
          </w:tcPr>
          <w:p w14:paraId="4698136E" w14:textId="77777777" w:rsidR="00DA26A2" w:rsidRDefault="00DA26A2">
            <w:pPr>
              <w:rPr>
                <w:sz w:val="32"/>
                <w:szCs w:val="32"/>
              </w:rPr>
            </w:pPr>
          </w:p>
        </w:tc>
        <w:tc>
          <w:tcPr>
            <w:tcW w:w="1656" w:type="dxa"/>
            <w:tcBorders>
              <w:top w:val="nil"/>
              <w:left w:val="nil"/>
              <w:bottom w:val="nil"/>
              <w:right w:val="nil"/>
            </w:tcBorders>
            <w:shd w:val="clear" w:color="auto" w:fill="auto"/>
            <w:tcMar>
              <w:top w:w="0" w:type="dxa"/>
              <w:left w:w="0" w:type="dxa"/>
              <w:bottom w:w="0" w:type="dxa"/>
              <w:right w:w="227" w:type="dxa"/>
            </w:tcMar>
          </w:tcPr>
          <w:p w14:paraId="532E3010" w14:textId="77777777" w:rsidR="00DA26A2" w:rsidRDefault="00DA26A2">
            <w:pPr>
              <w:rPr>
                <w:sz w:val="32"/>
                <w:szCs w:val="32"/>
              </w:rPr>
            </w:pPr>
          </w:p>
        </w:tc>
      </w:tr>
    </w:tbl>
    <w:p w14:paraId="6B36516A" w14:textId="77777777" w:rsidR="00DA26A2" w:rsidRDefault="00000000">
      <w:pPr>
        <w:rPr>
          <w:rFonts w:ascii="Arial" w:hAnsi="Arial" w:cs="Arial"/>
          <w:sz w:val="8"/>
          <w:szCs w:val="8"/>
        </w:rPr>
      </w:pPr>
      <w:r>
        <w:rPr>
          <w:rFonts w:ascii="Arial" w:hAnsi="Arial" w:cs="Arial"/>
          <w:sz w:val="8"/>
          <w:szCs w:val="8"/>
        </w:rPr>
        <w:br/>
      </w:r>
    </w:p>
    <w:tbl>
      <w:tblPr>
        <w:tblStyle w:val="TabelleEinfach1"/>
        <w:tblW w:w="5000" w:type="pct"/>
        <w:jc w:val="center"/>
        <w:tblLayout w:type="fixed"/>
        <w:tblCellMar>
          <w:left w:w="0" w:type="dxa"/>
          <w:right w:w="227" w:type="dxa"/>
        </w:tblCellMar>
        <w:tblLook w:val="04A0" w:firstRow="1" w:lastRow="0" w:firstColumn="1" w:lastColumn="0" w:noHBand="0" w:noVBand="1"/>
      </w:tblPr>
      <w:tblGrid>
        <w:gridCol w:w="9752"/>
      </w:tblGrid>
      <w:tr w:rsidR="00DA26A2" w14:paraId="74DB687B" w14:textId="77777777">
        <w:trPr>
          <w:jc w:val="center"/>
        </w:trPr>
        <w:tc>
          <w:tcPr>
            <w:tcW w:w="5000" w:type="pct"/>
            <w:tcBorders>
              <w:top w:val="nil"/>
              <w:left w:val="nil"/>
              <w:bottom w:val="nil"/>
              <w:right w:val="nil"/>
            </w:tcBorders>
            <w:shd w:val="clear" w:color="auto" w:fill="auto"/>
            <w:tcMar>
              <w:top w:w="0" w:type="dxa"/>
              <w:left w:w="0" w:type="dxa"/>
              <w:bottom w:w="0" w:type="dxa"/>
              <w:right w:w="227" w:type="dxa"/>
            </w:tcMar>
          </w:tcPr>
          <w:p w14:paraId="1DDE5123" w14:textId="77777777" w:rsidR="00DA26A2" w:rsidRDefault="00000000">
            <w:pPr>
              <w:rPr>
                <w:sz w:val="24"/>
                <w:szCs w:val="24"/>
              </w:rPr>
            </w:pPr>
            <w:r>
              <w:rPr>
                <w:noProof/>
                <w:sz w:val="24"/>
                <w:szCs w:val="24"/>
              </w:rPr>
              <w:drawing>
                <wp:inline distT="0" distB="0" distL="0" distR="0" wp14:anchorId="0A561E80" wp14:editId="24DCD1F1">
                  <wp:extent cx="3995420" cy="2663825"/>
                  <wp:effectExtent l="0" t="0" r="0" b="0"/>
                  <wp:docPr id="3"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dpi="0">
                          <a:blip r:embed="rId6"/>
                          <a:srcRect/>
                          <a:stretch>
                            <a:fillRect/>
                          </a:stretch>
                        </pic:blipFill>
                        <pic:spPr>
                          <a:xfrm>
                            <a:off x="0" y="0"/>
                            <a:ext cx="3995420" cy="2663825"/>
                          </a:xfrm>
                          <a:prstGeom prst="rect">
                            <a:avLst/>
                          </a:prstGeom>
                        </pic:spPr>
                      </pic:pic>
                    </a:graphicData>
                  </a:graphic>
                </wp:inline>
              </w:drawing>
            </w:r>
          </w:p>
        </w:tc>
      </w:tr>
    </w:tbl>
    <w:p w14:paraId="20441C70" w14:textId="77777777" w:rsidR="00DA26A2" w:rsidRDefault="00000000">
      <w:pPr>
        <w:rPr>
          <w:rFonts w:ascii="Arial" w:hAnsi="Arial" w:cs="Arial"/>
          <w:sz w:val="8"/>
          <w:szCs w:val="8"/>
        </w:rPr>
      </w:pPr>
      <w:r>
        <w:rPr>
          <w:rFonts w:ascii="Arial" w:hAnsi="Arial" w:cs="Arial"/>
          <w:sz w:val="8"/>
          <w:szCs w:val="8"/>
        </w:rPr>
        <w:br/>
      </w:r>
    </w:p>
    <w:tbl>
      <w:tblPr>
        <w:tblStyle w:val="TabelleEinfach1"/>
        <w:tblW w:w="5000" w:type="pct"/>
        <w:tblLayout w:type="fixed"/>
        <w:tblCellMar>
          <w:left w:w="0" w:type="dxa"/>
          <w:right w:w="227" w:type="dxa"/>
        </w:tblCellMar>
        <w:tblLook w:val="04A0" w:firstRow="1" w:lastRow="0" w:firstColumn="1" w:lastColumn="0" w:noHBand="0" w:noVBand="1"/>
      </w:tblPr>
      <w:tblGrid>
        <w:gridCol w:w="6698"/>
        <w:gridCol w:w="690"/>
        <w:gridCol w:w="2364"/>
      </w:tblGrid>
      <w:tr w:rsidR="00DA26A2" w14:paraId="5B980418" w14:textId="77777777">
        <w:tc>
          <w:tcPr>
            <w:tcW w:w="3400" w:type="pct"/>
            <w:tcBorders>
              <w:top w:val="nil"/>
              <w:left w:val="nil"/>
              <w:bottom w:val="nil"/>
              <w:right w:val="nil"/>
            </w:tcBorders>
            <w:shd w:val="clear" w:color="auto" w:fill="auto"/>
            <w:tcMar>
              <w:top w:w="0" w:type="dxa"/>
              <w:left w:w="0" w:type="dxa"/>
              <w:bottom w:w="0" w:type="dxa"/>
              <w:right w:w="227" w:type="dxa"/>
            </w:tcMar>
          </w:tcPr>
          <w:p w14:paraId="1026EFBB" w14:textId="77777777" w:rsidR="001B46DC" w:rsidRDefault="00000000">
            <w:pPr>
              <w:spacing w:after="240" w:line="360" w:lineRule="auto"/>
              <w:jc w:val="both"/>
              <w:rPr>
                <w:i/>
                <w:sz w:val="24"/>
                <w:szCs w:val="24"/>
              </w:rPr>
            </w:pPr>
            <w:r>
              <w:rPr>
                <w:i/>
                <w:sz w:val="24"/>
                <w:szCs w:val="24"/>
              </w:rPr>
              <w:t xml:space="preserve">Mit der abgeschlossenen Sanierung des denkmalgeschützten Philosophenturms kehrt das Leben auf den zentralen Universitätscampus zurück. Rund 2.500 Studierende und 500 Mitarbeitende profitieren von einer modernen, energieeffizienten und barrierefreien Infrastruktur, die den historischen Charme des Gebäudes bewahrt. Die Wiedereröffnung des von </w:t>
            </w:r>
            <w:proofErr w:type="spellStart"/>
            <w:r>
              <w:rPr>
                <w:i/>
                <w:sz w:val="24"/>
                <w:szCs w:val="24"/>
              </w:rPr>
              <w:t>Sprinkenhof</w:t>
            </w:r>
            <w:proofErr w:type="spellEnd"/>
            <w:r>
              <w:rPr>
                <w:i/>
                <w:sz w:val="24"/>
                <w:szCs w:val="24"/>
              </w:rPr>
              <w:t xml:space="preserve"> denkmalgerecht sanierten und APB. Architekten geplanten Projekts bedeutet einen wichtigen Schritt für die Universität Hamburg und ihre geisteswissenschaftlichen Fakultäten. Produkte von HEWI unterstreichen den hohen Standard der Sanierung und tragen zur umfassenden Barrierefreiheit bei.</w:t>
            </w:r>
          </w:p>
          <w:p w14:paraId="7003C1F0" w14:textId="09E19FA5" w:rsidR="00DA26A2" w:rsidRDefault="00000000">
            <w:pPr>
              <w:spacing w:after="240" w:line="360" w:lineRule="auto"/>
              <w:jc w:val="both"/>
              <w:rPr>
                <w:sz w:val="24"/>
                <w:szCs w:val="24"/>
              </w:rPr>
            </w:pPr>
            <w:r>
              <w:rPr>
                <w:sz w:val="24"/>
                <w:szCs w:val="24"/>
              </w:rPr>
              <w:lastRenderedPageBreak/>
              <w:br/>
              <w:t xml:space="preserve">Das markante, 14-geschossige Hochhaus auf dem Campus „Von-Melle-Park“ im Hamburger </w:t>
            </w:r>
            <w:proofErr w:type="spellStart"/>
            <w:r>
              <w:rPr>
                <w:sz w:val="24"/>
                <w:szCs w:val="24"/>
              </w:rPr>
              <w:t>Grindelviertel</w:t>
            </w:r>
            <w:proofErr w:type="spellEnd"/>
            <w:r>
              <w:rPr>
                <w:sz w:val="24"/>
                <w:szCs w:val="24"/>
              </w:rPr>
              <w:t xml:space="preserve"> wurde im Jahr 1962 von dem Architekten Paul Seitz entworfen. Im Philosophenturm sind die geisteswissenschaftlichen Fachbereiche Philosophie, Geschichte, Literatur, Sprachen und Medien untergebracht. Aufgrund seiner Lage auf dem zentralen Universitätsgelände ist der Turm ein wichtiger Bestandteil des akademischen Lebens in Hamburg.</w:t>
            </w:r>
          </w:p>
          <w:p w14:paraId="5B33F871" w14:textId="77777777" w:rsidR="00DA26A2" w:rsidRDefault="00000000">
            <w:pPr>
              <w:spacing w:after="240" w:line="360" w:lineRule="auto"/>
              <w:jc w:val="both"/>
              <w:rPr>
                <w:sz w:val="24"/>
                <w:szCs w:val="24"/>
              </w:rPr>
            </w:pPr>
            <w:r>
              <w:rPr>
                <w:b/>
                <w:sz w:val="24"/>
                <w:szCs w:val="24"/>
              </w:rPr>
              <w:t>Sanierung und optimierte Raumaufteilung</w:t>
            </w:r>
          </w:p>
          <w:p w14:paraId="20BD80ED" w14:textId="77777777" w:rsidR="00E904B1" w:rsidRDefault="00000000">
            <w:pPr>
              <w:spacing w:after="240" w:line="360" w:lineRule="auto"/>
              <w:jc w:val="both"/>
              <w:rPr>
                <w:sz w:val="24"/>
                <w:szCs w:val="24"/>
              </w:rPr>
            </w:pPr>
            <w:r>
              <w:rPr>
                <w:sz w:val="24"/>
                <w:szCs w:val="24"/>
              </w:rPr>
              <w:t xml:space="preserve">Nach jahrzehntelanger Nutzung war eine umfassende denkmalgerechte Sanierung erforderlich, um den heutigen Anforderungen an Brandschutz-, Schallschutz- und Akustikanforderungen gerecht zu werden. In diesem Zuge wurde das Hochhaus im Inneren von APB. Architekten grundlegend umstrukturiert, um die verschiedenen Bereiche effizient zu bündeln, moderne und offene Raumstrukturen zu schaffen und eine behindertengerechte und barrierefreie Nutzung auf allen Ebenen zu ermöglichen. Auch die technische Gebäudeausrüstung und sämtliche Aufzugsanlagen wurden erneuert, um die Energieeffizienz zu steigern. Außerdem wurde im Innenhof mit dem „Cube“ ein dreigeschossiger Neubau errichtet, der zusätzliche Nutzflächen und Veranstaltungsräume bietet. Bauherr des anspruchsvollen Projekts ist die ebenfalls in Hamburg ansässige </w:t>
            </w:r>
            <w:proofErr w:type="spellStart"/>
            <w:r>
              <w:rPr>
                <w:sz w:val="24"/>
                <w:szCs w:val="24"/>
              </w:rPr>
              <w:t>Sprinkenhof</w:t>
            </w:r>
            <w:proofErr w:type="spellEnd"/>
            <w:r>
              <w:rPr>
                <w:sz w:val="24"/>
                <w:szCs w:val="24"/>
              </w:rPr>
              <w:t xml:space="preserve"> GmbH.</w:t>
            </w:r>
          </w:p>
          <w:p w14:paraId="73CEE263" w14:textId="2142F4FE" w:rsidR="00DA26A2" w:rsidRDefault="00E904B1">
            <w:pPr>
              <w:spacing w:after="240" w:line="360" w:lineRule="auto"/>
              <w:jc w:val="both"/>
              <w:rPr>
                <w:sz w:val="24"/>
                <w:szCs w:val="24"/>
              </w:rPr>
            </w:pPr>
            <w:r>
              <w:rPr>
                <w:sz w:val="24"/>
                <w:szCs w:val="24"/>
              </w:rPr>
              <w:br/>
            </w:r>
          </w:p>
          <w:p w14:paraId="62CFD9E9" w14:textId="77777777" w:rsidR="00DA26A2" w:rsidRDefault="00000000">
            <w:pPr>
              <w:spacing w:after="240" w:line="360" w:lineRule="auto"/>
              <w:jc w:val="both"/>
              <w:rPr>
                <w:sz w:val="24"/>
                <w:szCs w:val="24"/>
              </w:rPr>
            </w:pPr>
            <w:r>
              <w:rPr>
                <w:b/>
                <w:sz w:val="24"/>
                <w:szCs w:val="24"/>
              </w:rPr>
              <w:lastRenderedPageBreak/>
              <w:t>Architektonische Besonderheiten</w:t>
            </w:r>
          </w:p>
          <w:p w14:paraId="4BD343BD" w14:textId="77777777" w:rsidR="00122B3B" w:rsidRDefault="00000000">
            <w:pPr>
              <w:spacing w:after="240" w:line="360" w:lineRule="auto"/>
              <w:jc w:val="both"/>
              <w:rPr>
                <w:sz w:val="24"/>
                <w:szCs w:val="24"/>
              </w:rPr>
            </w:pPr>
            <w:r>
              <w:rPr>
                <w:sz w:val="24"/>
                <w:szCs w:val="24"/>
              </w:rPr>
              <w:t>Der Philosophenturm hat einen Z-förmigen Grundriss mit vier</w:t>
            </w:r>
            <w:r w:rsidR="001B46DC">
              <w:rPr>
                <w:sz w:val="24"/>
                <w:szCs w:val="24"/>
              </w:rPr>
              <w:t xml:space="preserve"> </w:t>
            </w:r>
            <w:r>
              <w:rPr>
                <w:sz w:val="24"/>
                <w:szCs w:val="24"/>
              </w:rPr>
              <w:t xml:space="preserve">Gebäudeteilen und zeichnet sich durch seine schlanke Konstruktion im Stil der „Mid-Century-Modern“ aus. Die Fassade lässt das Gebäude optisch schwerelos erscheinen und betont die vertikalen Strukturen. In den beiden Flügelbauten befinden sich die Seminar- und </w:t>
            </w:r>
            <w:proofErr w:type="spellStart"/>
            <w:r>
              <w:rPr>
                <w:sz w:val="24"/>
                <w:szCs w:val="24"/>
              </w:rPr>
              <w:t>Fachschaftsräume</w:t>
            </w:r>
            <w:proofErr w:type="spellEnd"/>
            <w:r>
              <w:rPr>
                <w:sz w:val="24"/>
                <w:szCs w:val="24"/>
              </w:rPr>
              <w:t xml:space="preserve"> der Fakultäten sowie die Büros. Herzstück des Hochhauses und wesentliche Neuerung ist die Zusammenlegung der bisher getrennten Bibliotheken zu einer über 6.000 Quadratmeter großen Zentralbibliothek, die sich nun vom zweiten bis zum sechsten Obergeschoss des zentralen Mittelbaus erstreckt. Durch ein zusätzliches Treppenhaus und einen Bibliotheksaufzug erhielt die Bibliothek eine eigene innere Erschließung.</w:t>
            </w:r>
          </w:p>
          <w:p w14:paraId="5AE7B9DA" w14:textId="1AC6E600" w:rsidR="00DA26A2" w:rsidRDefault="00000000">
            <w:pPr>
              <w:spacing w:after="240" w:line="360" w:lineRule="auto"/>
              <w:jc w:val="both"/>
              <w:rPr>
                <w:sz w:val="24"/>
                <w:szCs w:val="24"/>
              </w:rPr>
            </w:pPr>
            <w:r>
              <w:rPr>
                <w:sz w:val="24"/>
                <w:szCs w:val="24"/>
              </w:rPr>
              <w:t>Neben der Sanierung des Bestandes sollten die Nutzflächen erweitert werden. Der neu entstandene „Cube“ staffelt sich als freistehender Solitär im Innenhof über drei Geschosse und schafft auf rund 900 Quadratmetern Raum für zusätzliche studentische Arbeitsplätze und den Austausch zwischen den Fachschaften. Der neue Erweiterungsbau zeichnet sich durch eine polierte Edelstahlfassade aus, die durch ihre reflektierenden Eigenschaften interessante Effekte und Blickbeziehungen schafft. Die Fassade trägt zu einem harmonischen Zusammenspiel von Alt und Neu bei, indem sie die historische Fassade spiegelt und sich optisch zurückhaltend und zugleich modern präsentiert.</w:t>
            </w:r>
            <w:r>
              <w:rPr>
                <w:sz w:val="24"/>
                <w:szCs w:val="24"/>
              </w:rPr>
              <w:br/>
            </w:r>
            <w:r w:rsidR="00E904B1">
              <w:rPr>
                <w:sz w:val="24"/>
                <w:szCs w:val="24"/>
              </w:rPr>
              <w:t>I</w:t>
            </w:r>
            <w:r>
              <w:rPr>
                <w:sz w:val="24"/>
                <w:szCs w:val="24"/>
              </w:rPr>
              <w:t xml:space="preserve">m Obergeschoss des Neubaus befindet sich ein lichtdurchfluteter Saal, der zusammen mit den vier Seminar- </w:t>
            </w:r>
            <w:r>
              <w:rPr>
                <w:sz w:val="24"/>
                <w:szCs w:val="24"/>
              </w:rPr>
              <w:lastRenderedPageBreak/>
              <w:t>und Gremienräumen im Erdgeschoss auch für Veranstaltungen genutzt werden kann. Der Neubau verbindet sich im Erdgeschoss an drei Seiten über Brücken mit dem Bestand. Neu geschaffene Besprechungsräume im denkmalgeschützten Hauptfoyer sowie die generalsanierte Mensa mit offenem Raumkonzept und neuer energieeffizienter Haustechnik ergänzen die Nutzungen im Erdgeschoss.</w:t>
            </w:r>
          </w:p>
          <w:p w14:paraId="06D1C3DB" w14:textId="77777777" w:rsidR="00DA26A2" w:rsidRDefault="00000000">
            <w:pPr>
              <w:spacing w:after="240" w:line="360" w:lineRule="auto"/>
              <w:jc w:val="both"/>
              <w:rPr>
                <w:sz w:val="24"/>
                <w:szCs w:val="24"/>
              </w:rPr>
            </w:pPr>
            <w:r>
              <w:rPr>
                <w:b/>
                <w:sz w:val="24"/>
                <w:szCs w:val="24"/>
              </w:rPr>
              <w:t>HEWI vereint puristisches Design mit Funktionalität</w:t>
            </w:r>
          </w:p>
          <w:p w14:paraId="14A6DF3F" w14:textId="3CCC8A58" w:rsidR="00342032" w:rsidRDefault="00000000">
            <w:pPr>
              <w:spacing w:after="240" w:line="360" w:lineRule="auto"/>
              <w:jc w:val="both"/>
              <w:rPr>
                <w:sz w:val="24"/>
                <w:szCs w:val="24"/>
              </w:rPr>
            </w:pPr>
            <w:r>
              <w:rPr>
                <w:sz w:val="24"/>
                <w:szCs w:val="24"/>
              </w:rPr>
              <w:t xml:space="preserve">Besonderer Wert wurde auf die Verwendung hochwertiger und funktionaler Produkte gelegt, um den Anforderungen an Barrierefreiheit und Ästhetik gerecht zu werden. So entschieden sich APB. Architekten und </w:t>
            </w:r>
            <w:r w:rsidR="00143F70">
              <w:rPr>
                <w:sz w:val="24"/>
                <w:szCs w:val="24"/>
              </w:rPr>
              <w:t xml:space="preserve">die </w:t>
            </w:r>
            <w:r>
              <w:rPr>
                <w:sz w:val="24"/>
                <w:szCs w:val="24"/>
              </w:rPr>
              <w:t xml:space="preserve">Bauherrschaft für die qualitativ hochwertigen Sanitärprodukte der barrierefreien </w:t>
            </w:r>
            <w:proofErr w:type="gramStart"/>
            <w:r>
              <w:rPr>
                <w:sz w:val="24"/>
                <w:szCs w:val="24"/>
              </w:rPr>
              <w:t>HEWI Systeme</w:t>
            </w:r>
            <w:proofErr w:type="gramEnd"/>
            <w:r>
              <w:rPr>
                <w:sz w:val="24"/>
                <w:szCs w:val="24"/>
              </w:rPr>
              <w:t xml:space="preserve"> 900 und 162 sowie der HEWI Serie 805: „In der Edelstahlausführung sehen sie nicht nur besonders hochwertig aus, sondern sie sind auch äußerst robust, hygienisch und pflegeleicht, was sie für den stark frequentierten Hochschulbetrieb geradezu prädestiniert“, so Jean </w:t>
            </w:r>
            <w:proofErr w:type="spellStart"/>
            <w:r>
              <w:rPr>
                <w:sz w:val="24"/>
                <w:szCs w:val="24"/>
              </w:rPr>
              <w:t>Pommée</w:t>
            </w:r>
            <w:proofErr w:type="spellEnd"/>
            <w:r>
              <w:rPr>
                <w:sz w:val="24"/>
                <w:szCs w:val="24"/>
              </w:rPr>
              <w:t>, Partner bei APB. Architekten.</w:t>
            </w:r>
          </w:p>
          <w:p w14:paraId="050625F7" w14:textId="0FAA4FD4" w:rsidR="00B520AF" w:rsidRDefault="00143F70">
            <w:pPr>
              <w:spacing w:after="240" w:line="360" w:lineRule="auto"/>
              <w:jc w:val="both"/>
              <w:rPr>
                <w:sz w:val="24"/>
                <w:szCs w:val="24"/>
              </w:rPr>
            </w:pPr>
            <w:r>
              <w:rPr>
                <w:sz w:val="24"/>
                <w:szCs w:val="24"/>
              </w:rPr>
              <w:t>Die Papierhandtuchspender, Papierabfallbehälter</w:t>
            </w:r>
            <w:r w:rsidR="00585610">
              <w:rPr>
                <w:sz w:val="24"/>
                <w:szCs w:val="24"/>
              </w:rPr>
              <w:t xml:space="preserve"> und</w:t>
            </w:r>
            <w:r>
              <w:rPr>
                <w:sz w:val="24"/>
                <w:szCs w:val="24"/>
              </w:rPr>
              <w:t xml:space="preserve"> Seifenspender der Serie 805</w:t>
            </w:r>
            <w:r w:rsidR="00B520AF">
              <w:rPr>
                <w:sz w:val="24"/>
                <w:szCs w:val="24"/>
              </w:rPr>
              <w:t xml:space="preserve"> </w:t>
            </w:r>
            <w:r>
              <w:rPr>
                <w:sz w:val="24"/>
                <w:szCs w:val="24"/>
              </w:rPr>
              <w:t xml:space="preserve">verfügen </w:t>
            </w:r>
            <w:r w:rsidR="00B520AF">
              <w:rPr>
                <w:sz w:val="24"/>
                <w:szCs w:val="24"/>
              </w:rPr>
              <w:t xml:space="preserve">außerdem </w:t>
            </w:r>
            <w:r>
              <w:rPr>
                <w:sz w:val="24"/>
                <w:szCs w:val="24"/>
              </w:rPr>
              <w:t>über integrierte Füllstandsanzeigen</w:t>
            </w:r>
            <w:r w:rsidR="00B520AF">
              <w:rPr>
                <w:sz w:val="24"/>
                <w:szCs w:val="24"/>
              </w:rPr>
              <w:t xml:space="preserve">, </w:t>
            </w:r>
            <w:r w:rsidR="00B520AF" w:rsidRPr="00B520AF">
              <w:rPr>
                <w:sz w:val="24"/>
                <w:szCs w:val="24"/>
              </w:rPr>
              <w:t>welche die Bevorratung der Verbrauchsartikel</w:t>
            </w:r>
            <w:r w:rsidR="00B520AF">
              <w:rPr>
                <w:sz w:val="24"/>
                <w:szCs w:val="24"/>
              </w:rPr>
              <w:t xml:space="preserve"> </w:t>
            </w:r>
            <w:r w:rsidR="00B520AF" w:rsidRPr="00B520AF">
              <w:rPr>
                <w:sz w:val="24"/>
                <w:szCs w:val="24"/>
              </w:rPr>
              <w:t>wie Seife oder Papierhandtücher</w:t>
            </w:r>
            <w:r w:rsidR="00B520AF">
              <w:rPr>
                <w:sz w:val="24"/>
                <w:szCs w:val="24"/>
              </w:rPr>
              <w:t xml:space="preserve"> </w:t>
            </w:r>
            <w:r w:rsidR="00B520AF" w:rsidRPr="00B520AF">
              <w:rPr>
                <w:sz w:val="24"/>
                <w:szCs w:val="24"/>
              </w:rPr>
              <w:t>erleichtern. Durchdachte Details</w:t>
            </w:r>
            <w:r w:rsidR="00F43F31">
              <w:rPr>
                <w:sz w:val="24"/>
                <w:szCs w:val="24"/>
              </w:rPr>
              <w:t xml:space="preserve"> </w:t>
            </w:r>
            <w:r w:rsidR="00B520AF" w:rsidRPr="00B520AF">
              <w:rPr>
                <w:sz w:val="24"/>
                <w:szCs w:val="24"/>
              </w:rPr>
              <w:t>wie abschließbare Spender oder verdeckte Befestigungen</w:t>
            </w:r>
            <w:r w:rsidR="00F43F31">
              <w:rPr>
                <w:sz w:val="24"/>
                <w:szCs w:val="24"/>
              </w:rPr>
              <w:t xml:space="preserve"> </w:t>
            </w:r>
            <w:r w:rsidR="00B520AF" w:rsidRPr="00B520AF">
              <w:rPr>
                <w:sz w:val="24"/>
                <w:szCs w:val="24"/>
              </w:rPr>
              <w:t>schützen vor Diebstahl und Vandalismus.</w:t>
            </w:r>
          </w:p>
          <w:p w14:paraId="7D2416C1" w14:textId="00A6387D" w:rsidR="001B46DC" w:rsidRDefault="00000000">
            <w:pPr>
              <w:spacing w:after="240" w:line="360" w:lineRule="auto"/>
              <w:jc w:val="both"/>
              <w:rPr>
                <w:sz w:val="24"/>
                <w:szCs w:val="24"/>
              </w:rPr>
            </w:pPr>
            <w:r>
              <w:rPr>
                <w:sz w:val="24"/>
                <w:szCs w:val="24"/>
              </w:rPr>
              <w:lastRenderedPageBreak/>
              <w:t>„</w:t>
            </w:r>
            <w:r w:rsidR="00585610">
              <w:rPr>
                <w:sz w:val="24"/>
                <w:szCs w:val="24"/>
              </w:rPr>
              <w:t xml:space="preserve">Insgesamt </w:t>
            </w:r>
            <w:r w:rsidR="00B520AF">
              <w:rPr>
                <w:sz w:val="24"/>
                <w:szCs w:val="24"/>
              </w:rPr>
              <w:t xml:space="preserve">hat </w:t>
            </w:r>
            <w:r w:rsidR="00585610">
              <w:rPr>
                <w:sz w:val="24"/>
                <w:szCs w:val="24"/>
              </w:rPr>
              <w:t xml:space="preserve">uns </w:t>
            </w:r>
            <w:r>
              <w:rPr>
                <w:sz w:val="24"/>
                <w:szCs w:val="24"/>
              </w:rPr>
              <w:t>auch das Konzept des Universal Designs überzeugt, das die Bedürfnisse aller Nutzenden berücksichtigt und das bei HEWI einen hohen Stellenwert hat", erklärt der Architekt. Besondere Sicherheit bietet zum Beispiel die Kombination aus Rückenstütze und Stützklappgriff, die exakt auf die Bedürfnisse von Menschen mit motorischen Einschränkungen abgestimmt ist.</w:t>
            </w:r>
          </w:p>
          <w:p w14:paraId="38534C00" w14:textId="22935A54" w:rsidR="00DA26A2" w:rsidRDefault="00000000">
            <w:pPr>
              <w:spacing w:after="240" w:line="360" w:lineRule="auto"/>
              <w:jc w:val="both"/>
              <w:rPr>
                <w:sz w:val="24"/>
                <w:szCs w:val="24"/>
              </w:rPr>
            </w:pPr>
            <w:r>
              <w:rPr>
                <w:sz w:val="24"/>
                <w:szCs w:val="24"/>
              </w:rPr>
              <w:t xml:space="preserve">„Wichtig war für uns auch, dass sich die </w:t>
            </w:r>
            <w:proofErr w:type="gramStart"/>
            <w:r>
              <w:rPr>
                <w:sz w:val="24"/>
                <w:szCs w:val="24"/>
              </w:rPr>
              <w:t>HEWI Lösungen</w:t>
            </w:r>
            <w:proofErr w:type="gramEnd"/>
            <w:r>
              <w:rPr>
                <w:sz w:val="24"/>
                <w:szCs w:val="24"/>
              </w:rPr>
              <w:t xml:space="preserve"> perfekt miteinander kombinieren lassen und besonders gut miteinander harmonieren“, greift </w:t>
            </w:r>
            <w:proofErr w:type="spellStart"/>
            <w:r>
              <w:rPr>
                <w:sz w:val="24"/>
                <w:szCs w:val="24"/>
              </w:rPr>
              <w:t>Pommée</w:t>
            </w:r>
            <w:proofErr w:type="spellEnd"/>
            <w:r>
              <w:rPr>
                <w:sz w:val="24"/>
                <w:szCs w:val="24"/>
              </w:rPr>
              <w:t xml:space="preserve"> den Systemgedanken auf. „Das ist ganz ähnlich wie bei uns, wo der interdisziplinäre Austausch auch inspirierend ist und zu qualitativ hochwertigen Ergebnissen führt.“</w:t>
            </w:r>
          </w:p>
          <w:p w14:paraId="38C5214A" w14:textId="593D01AC" w:rsidR="001B46DC" w:rsidRPr="001B46DC" w:rsidRDefault="001B46DC" w:rsidP="001B46DC">
            <w:pPr>
              <w:spacing w:after="240" w:line="360" w:lineRule="auto"/>
              <w:rPr>
                <w:b/>
                <w:sz w:val="24"/>
                <w:szCs w:val="24"/>
              </w:rPr>
            </w:pPr>
            <w:r w:rsidRPr="001B46DC">
              <w:rPr>
                <w:b/>
                <w:sz w:val="24"/>
                <w:szCs w:val="24"/>
              </w:rPr>
              <w:t>Daten und Fakten</w:t>
            </w:r>
            <w:r>
              <w:rPr>
                <w:b/>
                <w:sz w:val="24"/>
                <w:szCs w:val="24"/>
              </w:rPr>
              <w:t>:</w:t>
            </w:r>
          </w:p>
          <w:p w14:paraId="1F47B205" w14:textId="481D53ED" w:rsidR="00DA26A2" w:rsidRPr="001B46DC" w:rsidRDefault="001B46DC" w:rsidP="001B46DC">
            <w:pPr>
              <w:spacing w:after="240" w:line="360" w:lineRule="auto"/>
              <w:rPr>
                <w:b/>
                <w:sz w:val="24"/>
                <w:szCs w:val="24"/>
                <w:u w:val="single"/>
              </w:rPr>
            </w:pPr>
            <w:r w:rsidRPr="001B46DC">
              <w:rPr>
                <w:b/>
                <w:sz w:val="24"/>
                <w:szCs w:val="24"/>
              </w:rPr>
              <w:t xml:space="preserve">Projekt: </w:t>
            </w:r>
            <w:r w:rsidRPr="001B46DC">
              <w:rPr>
                <w:bCs/>
                <w:sz w:val="24"/>
                <w:szCs w:val="24"/>
              </w:rPr>
              <w:t>Modernisierung Philosophenturm, Mensa, Hörsäle, Neubau „Cube“</w:t>
            </w:r>
            <w:r>
              <w:rPr>
                <w:bCs/>
                <w:sz w:val="24"/>
                <w:szCs w:val="24"/>
              </w:rPr>
              <w:br/>
            </w:r>
            <w:proofErr w:type="spellStart"/>
            <w:r w:rsidRPr="001B46DC">
              <w:rPr>
                <w:b/>
                <w:sz w:val="24"/>
                <w:szCs w:val="24"/>
              </w:rPr>
              <w:t>BGFoberirdisch</w:t>
            </w:r>
            <w:proofErr w:type="spellEnd"/>
            <w:r w:rsidRPr="001B46DC">
              <w:rPr>
                <w:b/>
                <w:sz w:val="24"/>
                <w:szCs w:val="24"/>
              </w:rPr>
              <w:t xml:space="preserve">: </w:t>
            </w:r>
            <w:r w:rsidRPr="001B46DC">
              <w:rPr>
                <w:bCs/>
                <w:sz w:val="24"/>
                <w:szCs w:val="24"/>
              </w:rPr>
              <w:t>ca. 30.250 m²</w:t>
            </w:r>
            <w:r>
              <w:rPr>
                <w:bCs/>
                <w:sz w:val="24"/>
                <w:szCs w:val="24"/>
              </w:rPr>
              <w:br/>
            </w:r>
            <w:r w:rsidRPr="001B46DC">
              <w:rPr>
                <w:b/>
                <w:sz w:val="24"/>
                <w:szCs w:val="24"/>
              </w:rPr>
              <w:t xml:space="preserve">BGF unterirdisch: </w:t>
            </w:r>
            <w:r w:rsidRPr="001B46DC">
              <w:rPr>
                <w:bCs/>
                <w:sz w:val="24"/>
                <w:szCs w:val="24"/>
              </w:rPr>
              <w:t>ca. 3.800 m²</w:t>
            </w:r>
            <w:r>
              <w:rPr>
                <w:bCs/>
                <w:sz w:val="24"/>
                <w:szCs w:val="24"/>
              </w:rPr>
              <w:br/>
            </w:r>
            <w:r w:rsidRPr="001B46DC">
              <w:rPr>
                <w:b/>
                <w:sz w:val="24"/>
                <w:szCs w:val="24"/>
              </w:rPr>
              <w:t>Architekten:</w:t>
            </w:r>
            <w:r>
              <w:rPr>
                <w:b/>
                <w:sz w:val="24"/>
                <w:szCs w:val="24"/>
              </w:rPr>
              <w:t xml:space="preserve"> </w:t>
            </w:r>
            <w:r w:rsidRPr="001B46DC">
              <w:rPr>
                <w:bCs/>
                <w:sz w:val="24"/>
                <w:szCs w:val="24"/>
              </w:rPr>
              <w:t>APB. Architekten BDA, Johannisbollwerk 16, 20459 Hamburg</w:t>
            </w:r>
            <w:r>
              <w:rPr>
                <w:bCs/>
                <w:sz w:val="24"/>
                <w:szCs w:val="24"/>
              </w:rPr>
              <w:br/>
            </w:r>
            <w:r w:rsidRPr="001B46DC">
              <w:rPr>
                <w:b/>
                <w:sz w:val="24"/>
                <w:szCs w:val="24"/>
              </w:rPr>
              <w:t>Bauherr:</w:t>
            </w:r>
            <w:r>
              <w:rPr>
                <w:b/>
                <w:sz w:val="24"/>
                <w:szCs w:val="24"/>
              </w:rPr>
              <w:t xml:space="preserve"> </w:t>
            </w:r>
            <w:proofErr w:type="spellStart"/>
            <w:r w:rsidRPr="001B46DC">
              <w:rPr>
                <w:bCs/>
                <w:sz w:val="24"/>
                <w:szCs w:val="24"/>
              </w:rPr>
              <w:t>Sprinkenhof</w:t>
            </w:r>
            <w:proofErr w:type="spellEnd"/>
            <w:r w:rsidRPr="001B46DC">
              <w:rPr>
                <w:bCs/>
                <w:sz w:val="24"/>
                <w:szCs w:val="24"/>
              </w:rPr>
              <w:t xml:space="preserve"> GmbH, </w:t>
            </w:r>
            <w:proofErr w:type="spellStart"/>
            <w:r w:rsidRPr="001B46DC">
              <w:rPr>
                <w:bCs/>
                <w:sz w:val="24"/>
                <w:szCs w:val="24"/>
              </w:rPr>
              <w:t>Burchardstraße</w:t>
            </w:r>
            <w:proofErr w:type="spellEnd"/>
            <w:r w:rsidRPr="001B46DC">
              <w:rPr>
                <w:bCs/>
                <w:sz w:val="24"/>
                <w:szCs w:val="24"/>
              </w:rPr>
              <w:t xml:space="preserve"> 8, 20095 Hamburg</w:t>
            </w:r>
            <w:r>
              <w:rPr>
                <w:bCs/>
                <w:sz w:val="24"/>
                <w:szCs w:val="24"/>
              </w:rPr>
              <w:br/>
            </w:r>
            <w:proofErr w:type="gramStart"/>
            <w:r w:rsidRPr="001B46DC">
              <w:rPr>
                <w:b/>
                <w:sz w:val="24"/>
                <w:szCs w:val="24"/>
              </w:rPr>
              <w:t>HEWI Produkte</w:t>
            </w:r>
            <w:proofErr w:type="gramEnd"/>
            <w:r w:rsidRPr="001B46DC">
              <w:rPr>
                <w:b/>
                <w:sz w:val="24"/>
                <w:szCs w:val="24"/>
              </w:rPr>
              <w:t xml:space="preserve">: </w:t>
            </w:r>
            <w:r w:rsidRPr="001B46DC">
              <w:rPr>
                <w:bCs/>
                <w:sz w:val="24"/>
                <w:szCs w:val="24"/>
              </w:rPr>
              <w:t>System 900, Serie 805, System 162</w:t>
            </w:r>
            <w:r>
              <w:rPr>
                <w:bCs/>
                <w:sz w:val="24"/>
                <w:szCs w:val="24"/>
              </w:rPr>
              <w:br/>
            </w:r>
            <w:r w:rsidRPr="001B46DC">
              <w:rPr>
                <w:b/>
                <w:sz w:val="24"/>
                <w:szCs w:val="24"/>
              </w:rPr>
              <w:t xml:space="preserve">Fertigstellung: </w:t>
            </w:r>
            <w:r w:rsidRPr="001B46DC">
              <w:rPr>
                <w:bCs/>
                <w:sz w:val="24"/>
                <w:szCs w:val="24"/>
              </w:rPr>
              <w:t>10/2023</w:t>
            </w:r>
          </w:p>
        </w:tc>
        <w:tc>
          <w:tcPr>
            <w:tcW w:w="350" w:type="pct"/>
            <w:tcBorders>
              <w:top w:val="nil"/>
              <w:left w:val="nil"/>
              <w:bottom w:val="nil"/>
              <w:right w:val="nil"/>
            </w:tcBorders>
            <w:shd w:val="clear" w:color="auto" w:fill="auto"/>
            <w:tcMar>
              <w:top w:w="0" w:type="dxa"/>
              <w:left w:w="0" w:type="dxa"/>
              <w:bottom w:w="0" w:type="dxa"/>
              <w:right w:w="227" w:type="dxa"/>
            </w:tcMar>
          </w:tcPr>
          <w:p w14:paraId="1C852995" w14:textId="77777777" w:rsidR="00DA26A2" w:rsidRDefault="00DA26A2">
            <w:pPr>
              <w:spacing w:line="360" w:lineRule="auto"/>
              <w:jc w:val="both"/>
              <w:rPr>
                <w:sz w:val="24"/>
                <w:szCs w:val="24"/>
              </w:rPr>
            </w:pPr>
          </w:p>
        </w:tc>
        <w:tc>
          <w:tcPr>
            <w:tcW w:w="1200" w:type="pct"/>
            <w:tcBorders>
              <w:top w:val="nil"/>
              <w:left w:val="nil"/>
              <w:bottom w:val="nil"/>
              <w:right w:val="nil"/>
            </w:tcBorders>
            <w:shd w:val="clear" w:color="auto" w:fill="auto"/>
            <w:tcMar>
              <w:top w:w="0" w:type="dxa"/>
              <w:left w:w="0" w:type="dxa"/>
              <w:bottom w:w="0" w:type="dxa"/>
              <w:right w:w="227" w:type="dxa"/>
            </w:tcMar>
          </w:tcPr>
          <w:p w14:paraId="3B9902B6" w14:textId="77777777" w:rsidR="00DA26A2" w:rsidRDefault="00000000">
            <w:pPr>
              <w:spacing w:after="240"/>
              <w:rPr>
                <w:sz w:val="18"/>
                <w:szCs w:val="18"/>
              </w:rPr>
            </w:pPr>
            <w:r>
              <w:rPr>
                <w:b/>
                <w:sz w:val="18"/>
                <w:szCs w:val="18"/>
              </w:rPr>
              <w:t>Herausgeber | Redaktion</w:t>
            </w:r>
          </w:p>
          <w:p w14:paraId="7809C1D4" w14:textId="77777777" w:rsidR="00DA26A2" w:rsidRDefault="00000000">
            <w:pPr>
              <w:spacing w:after="240"/>
              <w:rPr>
                <w:sz w:val="18"/>
                <w:szCs w:val="18"/>
              </w:rPr>
            </w:pPr>
            <w:r>
              <w:rPr>
                <w:sz w:val="18"/>
                <w:szCs w:val="18"/>
              </w:rPr>
              <w:t>HEWI</w:t>
            </w:r>
            <w:r>
              <w:rPr>
                <w:sz w:val="18"/>
                <w:szCs w:val="18"/>
              </w:rPr>
              <w:br/>
              <w:t>Marke + Vertrieb</w:t>
            </w:r>
          </w:p>
          <w:p w14:paraId="295DC752" w14:textId="77777777" w:rsidR="00DA26A2" w:rsidRDefault="00000000">
            <w:pPr>
              <w:spacing w:after="240"/>
              <w:rPr>
                <w:sz w:val="18"/>
                <w:szCs w:val="18"/>
              </w:rPr>
            </w:pPr>
            <w:r>
              <w:rPr>
                <w:sz w:val="18"/>
                <w:szCs w:val="18"/>
              </w:rPr>
              <w:t>HEWI Heinrich Wilke GmbH</w:t>
            </w:r>
            <w:r>
              <w:rPr>
                <w:sz w:val="18"/>
                <w:szCs w:val="18"/>
              </w:rPr>
              <w:br/>
              <w:t>Postfach 1260</w:t>
            </w:r>
            <w:r>
              <w:rPr>
                <w:sz w:val="18"/>
                <w:szCs w:val="18"/>
              </w:rPr>
              <w:br/>
              <w:t xml:space="preserve">34442 Bad </w:t>
            </w:r>
            <w:proofErr w:type="spellStart"/>
            <w:r>
              <w:rPr>
                <w:sz w:val="18"/>
                <w:szCs w:val="18"/>
              </w:rPr>
              <w:t>Arolsen</w:t>
            </w:r>
            <w:proofErr w:type="spellEnd"/>
            <w:r>
              <w:rPr>
                <w:sz w:val="18"/>
                <w:szCs w:val="18"/>
              </w:rPr>
              <w:br/>
              <w:t>+49 5691 82-0</w:t>
            </w:r>
            <w:r>
              <w:rPr>
                <w:sz w:val="18"/>
                <w:szCs w:val="18"/>
              </w:rPr>
              <w:br/>
              <w:t>presse@hewi.de</w:t>
            </w:r>
            <w:r>
              <w:rPr>
                <w:sz w:val="18"/>
                <w:szCs w:val="18"/>
              </w:rPr>
              <w:br/>
              <w:t>www.hewi.com</w:t>
            </w:r>
            <w:r>
              <w:rPr>
                <w:sz w:val="18"/>
                <w:szCs w:val="18"/>
              </w:rPr>
              <w:br/>
            </w:r>
            <w:r>
              <w:rPr>
                <w:sz w:val="18"/>
                <w:szCs w:val="18"/>
              </w:rPr>
              <w:br/>
              <w:t xml:space="preserve">Clara </w:t>
            </w:r>
            <w:proofErr w:type="spellStart"/>
            <w:r>
              <w:rPr>
                <w:sz w:val="18"/>
                <w:szCs w:val="18"/>
              </w:rPr>
              <w:t>Brenneker</w:t>
            </w:r>
            <w:proofErr w:type="spellEnd"/>
            <w:r>
              <w:rPr>
                <w:sz w:val="18"/>
                <w:szCs w:val="18"/>
              </w:rPr>
              <w:t xml:space="preserve"> </w:t>
            </w:r>
            <w:r>
              <w:rPr>
                <w:sz w:val="18"/>
                <w:szCs w:val="18"/>
              </w:rPr>
              <w:br/>
              <w:t>+49 5691 82-214</w:t>
            </w:r>
            <w:r>
              <w:rPr>
                <w:sz w:val="18"/>
                <w:szCs w:val="18"/>
              </w:rPr>
              <w:br/>
              <w:t>cbrenneker@hewi.de</w:t>
            </w:r>
            <w:r>
              <w:rPr>
                <w:sz w:val="18"/>
                <w:szCs w:val="18"/>
              </w:rPr>
              <w:br/>
              <w:t> </w:t>
            </w:r>
            <w:r>
              <w:rPr>
                <w:sz w:val="18"/>
                <w:szCs w:val="18"/>
              </w:rPr>
              <w:br/>
            </w:r>
            <w:r>
              <w:rPr>
                <w:b/>
                <w:sz w:val="18"/>
                <w:szCs w:val="18"/>
              </w:rPr>
              <w:t>Abdruck frei - Beleg erbeten</w:t>
            </w:r>
          </w:p>
          <w:p w14:paraId="0DB45E72" w14:textId="77777777" w:rsidR="00DA26A2" w:rsidRDefault="00000000">
            <w:pPr>
              <w:rPr>
                <w:sz w:val="18"/>
                <w:szCs w:val="18"/>
              </w:rPr>
            </w:pPr>
            <w:r>
              <w:rPr>
                <w:sz w:val="18"/>
                <w:szCs w:val="18"/>
              </w:rPr>
              <w:t> </w:t>
            </w:r>
          </w:p>
        </w:tc>
      </w:tr>
    </w:tbl>
    <w:p w14:paraId="71E1EDE6" w14:textId="77777777" w:rsidR="00DA26A2" w:rsidRDefault="00000000">
      <w:r>
        <w:lastRenderedPageBreak/>
        <w:br w:type="page"/>
      </w:r>
    </w:p>
    <w:p w14:paraId="037080F3" w14:textId="77777777" w:rsidR="00DA26A2" w:rsidRDefault="00000000">
      <w:pPr>
        <w:rPr>
          <w:sz w:val="20"/>
          <w:szCs w:val="20"/>
        </w:rPr>
      </w:pPr>
      <w:r>
        <w:rPr>
          <w:b/>
          <w:sz w:val="20"/>
          <w:szCs w:val="20"/>
        </w:rPr>
        <w:lastRenderedPageBreak/>
        <w:t>1</w:t>
      </w:r>
      <w:r>
        <w:rPr>
          <w:sz w:val="20"/>
          <w:szCs w:val="20"/>
        </w:rPr>
        <w:t xml:space="preserve"> Das denkmalgerecht sanierte Hauptfoyer wurde mit der Modernisierung zu einer Versammlungsstätte gem. </w:t>
      </w:r>
      <w:proofErr w:type="spellStart"/>
      <w:r>
        <w:rPr>
          <w:sz w:val="20"/>
          <w:szCs w:val="20"/>
        </w:rPr>
        <w:t>VStättVO</w:t>
      </w:r>
      <w:proofErr w:type="spellEnd"/>
      <w:r>
        <w:rPr>
          <w:sz w:val="20"/>
          <w:szCs w:val="20"/>
        </w:rPr>
        <w:t xml:space="preserve"> erweitert. Foto: Andrea Flak</w:t>
      </w:r>
      <w:r>
        <w:rPr>
          <w:sz w:val="20"/>
          <w:szCs w:val="20"/>
        </w:rPr>
        <w:br/>
      </w:r>
    </w:p>
    <w:p w14:paraId="0E0FAF71" w14:textId="1476184D" w:rsidR="00DA26A2" w:rsidRDefault="00000000">
      <w:pPr>
        <w:rPr>
          <w:sz w:val="20"/>
          <w:szCs w:val="20"/>
        </w:rPr>
      </w:pPr>
      <w:r>
        <w:rPr>
          <w:b/>
          <w:sz w:val="20"/>
          <w:szCs w:val="20"/>
        </w:rPr>
        <w:t>2</w:t>
      </w:r>
      <w:r>
        <w:rPr>
          <w:sz w:val="20"/>
          <w:szCs w:val="20"/>
        </w:rPr>
        <w:t xml:space="preserve"> Hörsaal D (Kokoschka Saal). Heute sind die Stühle in den Hörsälen nicht mehr leer. Für die Zeit der Sanierung wurde der Universitätsbetrieb komplett in die City Nord verlegt. Foto: Andrea Flak</w:t>
      </w:r>
      <w:r>
        <w:rPr>
          <w:sz w:val="20"/>
          <w:szCs w:val="20"/>
        </w:rPr>
        <w:br/>
      </w:r>
    </w:p>
    <w:p w14:paraId="0ACA2845" w14:textId="77777777" w:rsidR="00DA26A2" w:rsidRDefault="00000000">
      <w:pPr>
        <w:rPr>
          <w:sz w:val="20"/>
          <w:szCs w:val="20"/>
        </w:rPr>
      </w:pPr>
      <w:r>
        <w:rPr>
          <w:b/>
          <w:sz w:val="20"/>
          <w:szCs w:val="20"/>
        </w:rPr>
        <w:t>3</w:t>
      </w:r>
      <w:r>
        <w:rPr>
          <w:sz w:val="20"/>
          <w:szCs w:val="20"/>
        </w:rPr>
        <w:t xml:space="preserve"> Hörsaal D (Kokoschka Saal). Endlich können die Studierenden der geisteswissenschaftlichen Fächer wieder in den Hörsälen des Philosophenturms lernen. Foto: Andrea Flak</w:t>
      </w:r>
      <w:r>
        <w:rPr>
          <w:sz w:val="20"/>
          <w:szCs w:val="20"/>
        </w:rPr>
        <w:br/>
      </w:r>
    </w:p>
    <w:p w14:paraId="0877849C" w14:textId="118EFC45" w:rsidR="00DA26A2" w:rsidRDefault="00000000">
      <w:pPr>
        <w:rPr>
          <w:sz w:val="20"/>
          <w:szCs w:val="20"/>
        </w:rPr>
      </w:pPr>
      <w:r>
        <w:rPr>
          <w:b/>
          <w:sz w:val="20"/>
          <w:szCs w:val="20"/>
        </w:rPr>
        <w:t>4</w:t>
      </w:r>
      <w:r>
        <w:rPr>
          <w:sz w:val="20"/>
          <w:szCs w:val="20"/>
        </w:rPr>
        <w:t xml:space="preserve"> Im denkmalgeschützten Foyer der Hörsäle wurde die Deckenstrahlheizung nach bauzeitlichem Vorbild neu aufgebaut. Foto: Andrea Flak</w:t>
      </w:r>
      <w:r>
        <w:rPr>
          <w:sz w:val="20"/>
          <w:szCs w:val="20"/>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DA26A2" w14:paraId="73EF446A" w14:textId="77777777">
        <w:tc>
          <w:tcPr>
            <w:tcW w:w="2444" w:type="pct"/>
            <w:tcBorders>
              <w:top w:val="nil"/>
              <w:left w:val="nil"/>
              <w:bottom w:val="nil"/>
              <w:right w:val="nil"/>
            </w:tcBorders>
            <w:shd w:val="clear" w:color="auto" w:fill="auto"/>
            <w:tcMar>
              <w:top w:w="0" w:type="dxa"/>
              <w:left w:w="0" w:type="dxa"/>
              <w:bottom w:w="0" w:type="dxa"/>
              <w:right w:w="0" w:type="dxa"/>
            </w:tcMar>
          </w:tcPr>
          <w:p w14:paraId="6C270838" w14:textId="77777777" w:rsidR="00DA26A2" w:rsidRDefault="00000000">
            <w:pPr>
              <w:keepNext/>
              <w:keepLines/>
              <w:rPr>
                <w:sz w:val="14"/>
                <w:szCs w:val="14"/>
              </w:rPr>
            </w:pPr>
            <w:r>
              <w:rPr>
                <w:sz w:val="14"/>
                <w:szCs w:val="14"/>
              </w:rPr>
              <w:t>1.</w:t>
            </w:r>
          </w:p>
        </w:tc>
        <w:tc>
          <w:tcPr>
            <w:tcW w:w="112" w:type="pct"/>
            <w:tcBorders>
              <w:top w:val="nil"/>
              <w:left w:val="nil"/>
              <w:bottom w:val="nil"/>
              <w:right w:val="nil"/>
            </w:tcBorders>
            <w:shd w:val="clear" w:color="auto" w:fill="auto"/>
            <w:tcMar>
              <w:top w:w="0" w:type="dxa"/>
              <w:left w:w="0" w:type="dxa"/>
              <w:bottom w:w="0" w:type="dxa"/>
              <w:right w:w="0" w:type="dxa"/>
            </w:tcMar>
          </w:tcPr>
          <w:p w14:paraId="30734B59" w14:textId="77777777" w:rsidR="00DA26A2" w:rsidRDefault="00DA26A2">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521E6AAD" w14:textId="77777777" w:rsidR="00DA26A2" w:rsidRDefault="00000000">
            <w:pPr>
              <w:keepNext/>
              <w:keepLines/>
              <w:rPr>
                <w:sz w:val="14"/>
                <w:szCs w:val="14"/>
              </w:rPr>
            </w:pPr>
            <w:r>
              <w:rPr>
                <w:sz w:val="14"/>
                <w:szCs w:val="14"/>
              </w:rPr>
              <w:t>2.</w:t>
            </w:r>
          </w:p>
        </w:tc>
      </w:tr>
      <w:tr w:rsidR="00DA26A2" w14:paraId="6F63EC3E"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3D2080FB" w14:textId="77777777" w:rsidR="00DA26A2" w:rsidRDefault="00000000">
            <w:pPr>
              <w:keepNext/>
              <w:keepLines/>
              <w:rPr>
                <w:sz w:val="14"/>
                <w:szCs w:val="14"/>
              </w:rPr>
            </w:pPr>
            <w:r>
              <w:rPr>
                <w:noProof/>
                <w:sz w:val="14"/>
                <w:szCs w:val="14"/>
              </w:rPr>
              <w:drawing>
                <wp:inline distT="0" distB="0" distL="0" distR="0" wp14:anchorId="466EE24B" wp14:editId="26EC259F">
                  <wp:extent cx="3023235" cy="2014220"/>
                  <wp:effectExtent l="0" t="0" r="0" b="0"/>
                  <wp:docPr id="4"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dpi="0">
                          <a:blip r:embed="rId7"/>
                          <a:srcRect/>
                          <a:stretch>
                            <a:fillRect/>
                          </a:stretch>
                        </pic:blipFill>
                        <pic:spPr>
                          <a:xfrm>
                            <a:off x="0" y="0"/>
                            <a:ext cx="3023235"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2300FB5F" w14:textId="77777777" w:rsidR="00DA26A2" w:rsidRDefault="00DA26A2">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77B82B59" w14:textId="77777777" w:rsidR="00DA26A2" w:rsidRDefault="00000000">
            <w:pPr>
              <w:keepNext/>
              <w:keepLines/>
              <w:rPr>
                <w:sz w:val="14"/>
                <w:szCs w:val="14"/>
              </w:rPr>
            </w:pPr>
            <w:r>
              <w:rPr>
                <w:noProof/>
                <w:sz w:val="14"/>
                <w:szCs w:val="14"/>
              </w:rPr>
              <w:drawing>
                <wp:inline distT="0" distB="0" distL="0" distR="0" wp14:anchorId="4C6C1E73" wp14:editId="6AD90BE0">
                  <wp:extent cx="3023235" cy="2014220"/>
                  <wp:effectExtent l="0" t="0" r="0" b="0"/>
                  <wp:docPr id="5"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dpi="0">
                          <a:blip r:embed="rId8"/>
                          <a:srcRect/>
                          <a:stretch>
                            <a:fillRect/>
                          </a:stretch>
                        </pic:blipFill>
                        <pic:spPr>
                          <a:xfrm>
                            <a:off x="0" y="0"/>
                            <a:ext cx="3023235" cy="2014220"/>
                          </a:xfrm>
                          <a:prstGeom prst="rect">
                            <a:avLst/>
                          </a:prstGeom>
                        </pic:spPr>
                      </pic:pic>
                    </a:graphicData>
                  </a:graphic>
                </wp:inline>
              </w:drawing>
            </w:r>
          </w:p>
        </w:tc>
      </w:tr>
      <w:tr w:rsidR="00DA26A2" w14:paraId="52044AE2" w14:textId="77777777">
        <w:tc>
          <w:tcPr>
            <w:tcW w:w="2444" w:type="pct"/>
            <w:tcBorders>
              <w:top w:val="nil"/>
              <w:left w:val="nil"/>
              <w:bottom w:val="nil"/>
              <w:right w:val="nil"/>
            </w:tcBorders>
            <w:shd w:val="clear" w:color="auto" w:fill="auto"/>
            <w:tcMar>
              <w:top w:w="0" w:type="dxa"/>
              <w:left w:w="0" w:type="dxa"/>
              <w:bottom w:w="0" w:type="dxa"/>
              <w:right w:w="0" w:type="dxa"/>
            </w:tcMar>
          </w:tcPr>
          <w:p w14:paraId="676AEA8D" w14:textId="77777777" w:rsidR="00DA26A2" w:rsidRDefault="00DA26A2">
            <w:pPr>
              <w:keepNext/>
              <w:keepLines/>
              <w:rPr>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14:paraId="0BB50FF2" w14:textId="77777777" w:rsidR="00DA26A2" w:rsidRDefault="00DA26A2">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3C317FE5" w14:textId="77777777" w:rsidR="00DA26A2" w:rsidRDefault="00DA26A2">
            <w:pPr>
              <w:keepNext/>
              <w:keepLines/>
              <w:rPr>
                <w:sz w:val="14"/>
                <w:szCs w:val="14"/>
              </w:rPr>
            </w:pPr>
          </w:p>
        </w:tc>
      </w:tr>
      <w:tr w:rsidR="00DA26A2" w14:paraId="3FD9E5BB" w14:textId="77777777">
        <w:tc>
          <w:tcPr>
            <w:tcW w:w="2444" w:type="pct"/>
            <w:tcBorders>
              <w:top w:val="nil"/>
              <w:left w:val="nil"/>
              <w:bottom w:val="nil"/>
              <w:right w:val="nil"/>
            </w:tcBorders>
            <w:shd w:val="clear" w:color="auto" w:fill="auto"/>
            <w:tcMar>
              <w:top w:w="0" w:type="dxa"/>
              <w:left w:w="0" w:type="dxa"/>
              <w:bottom w:w="0" w:type="dxa"/>
              <w:right w:w="0" w:type="dxa"/>
            </w:tcMar>
          </w:tcPr>
          <w:p w14:paraId="09B9A003" w14:textId="77777777" w:rsidR="00DA26A2" w:rsidRDefault="00000000">
            <w:pPr>
              <w:keepNext/>
              <w:keepLines/>
              <w:rPr>
                <w:sz w:val="14"/>
                <w:szCs w:val="14"/>
              </w:rPr>
            </w:pPr>
            <w:r>
              <w:rPr>
                <w:sz w:val="14"/>
                <w:szCs w:val="14"/>
              </w:rPr>
              <w:t>3.</w:t>
            </w:r>
          </w:p>
        </w:tc>
        <w:tc>
          <w:tcPr>
            <w:tcW w:w="112" w:type="pct"/>
            <w:tcBorders>
              <w:top w:val="nil"/>
              <w:left w:val="nil"/>
              <w:bottom w:val="nil"/>
              <w:right w:val="nil"/>
            </w:tcBorders>
            <w:shd w:val="clear" w:color="auto" w:fill="auto"/>
            <w:tcMar>
              <w:top w:w="0" w:type="dxa"/>
              <w:left w:w="0" w:type="dxa"/>
              <w:bottom w:w="0" w:type="dxa"/>
              <w:right w:w="0" w:type="dxa"/>
            </w:tcMar>
          </w:tcPr>
          <w:p w14:paraId="313C59C0" w14:textId="77777777" w:rsidR="00DA26A2" w:rsidRDefault="00DA26A2">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734BD93D" w14:textId="77777777" w:rsidR="00DA26A2" w:rsidRDefault="00000000">
            <w:pPr>
              <w:keepNext/>
              <w:keepLines/>
              <w:rPr>
                <w:sz w:val="14"/>
                <w:szCs w:val="14"/>
              </w:rPr>
            </w:pPr>
            <w:r>
              <w:rPr>
                <w:sz w:val="14"/>
                <w:szCs w:val="14"/>
              </w:rPr>
              <w:t>4.</w:t>
            </w:r>
          </w:p>
        </w:tc>
      </w:tr>
      <w:tr w:rsidR="00DA26A2" w14:paraId="416D3426"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254F186B" w14:textId="77777777" w:rsidR="00DA26A2" w:rsidRDefault="00000000">
            <w:pPr>
              <w:keepNext/>
              <w:keepLines/>
              <w:rPr>
                <w:sz w:val="14"/>
                <w:szCs w:val="14"/>
              </w:rPr>
            </w:pPr>
            <w:r>
              <w:rPr>
                <w:noProof/>
                <w:sz w:val="14"/>
                <w:szCs w:val="14"/>
              </w:rPr>
              <w:drawing>
                <wp:inline distT="0" distB="0" distL="0" distR="0" wp14:anchorId="23A97202" wp14:editId="36878447">
                  <wp:extent cx="3023235" cy="2014220"/>
                  <wp:effectExtent l="0" t="0" r="0" b="0"/>
                  <wp:docPr id="6"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dpi="0">
                          <a:blip r:embed="rId9"/>
                          <a:srcRect/>
                          <a:stretch>
                            <a:fillRect/>
                          </a:stretch>
                        </pic:blipFill>
                        <pic:spPr>
                          <a:xfrm>
                            <a:off x="0" y="0"/>
                            <a:ext cx="3023235"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66688069" w14:textId="77777777" w:rsidR="00DA26A2" w:rsidRDefault="00DA26A2">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5213172E" w14:textId="77777777" w:rsidR="00DA26A2" w:rsidRDefault="00000000">
            <w:pPr>
              <w:keepNext/>
              <w:keepLines/>
              <w:rPr>
                <w:sz w:val="14"/>
                <w:szCs w:val="14"/>
              </w:rPr>
            </w:pPr>
            <w:r>
              <w:rPr>
                <w:noProof/>
                <w:sz w:val="14"/>
                <w:szCs w:val="14"/>
              </w:rPr>
              <w:drawing>
                <wp:inline distT="0" distB="0" distL="0" distR="0" wp14:anchorId="07EA7190" wp14:editId="481345A7">
                  <wp:extent cx="3023235" cy="2014220"/>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dpi="0">
                          <a:blip r:embed="rId10"/>
                          <a:srcRect/>
                          <a:stretch>
                            <a:fillRect/>
                          </a:stretch>
                        </pic:blipFill>
                        <pic:spPr>
                          <a:xfrm>
                            <a:off x="0" y="0"/>
                            <a:ext cx="3023235" cy="2014220"/>
                          </a:xfrm>
                          <a:prstGeom prst="rect">
                            <a:avLst/>
                          </a:prstGeom>
                        </pic:spPr>
                      </pic:pic>
                    </a:graphicData>
                  </a:graphic>
                </wp:inline>
              </w:drawing>
            </w:r>
          </w:p>
        </w:tc>
      </w:tr>
    </w:tbl>
    <w:p w14:paraId="157679FD" w14:textId="77777777" w:rsidR="00DA26A2" w:rsidRDefault="00000000">
      <w:r>
        <w:br w:type="page"/>
      </w:r>
    </w:p>
    <w:p w14:paraId="7D328CC3" w14:textId="77777777" w:rsidR="00DA26A2" w:rsidRDefault="00000000">
      <w:pPr>
        <w:rPr>
          <w:sz w:val="20"/>
          <w:szCs w:val="20"/>
        </w:rPr>
      </w:pPr>
      <w:r>
        <w:rPr>
          <w:b/>
          <w:sz w:val="20"/>
          <w:szCs w:val="20"/>
        </w:rPr>
        <w:lastRenderedPageBreak/>
        <w:t>5</w:t>
      </w:r>
      <w:r>
        <w:rPr>
          <w:sz w:val="20"/>
          <w:szCs w:val="20"/>
        </w:rPr>
        <w:t xml:space="preserve"> Im „Cube“ wird der lichtdurchflutete Raum im Obergeschoss zusammen mit den vier Sälen im Erdgeschoss neben dem universitären Betrieb auch für interne und externe Veranstaltungen genutzt. Foto: Andrea Flak</w:t>
      </w:r>
      <w:r>
        <w:rPr>
          <w:sz w:val="20"/>
          <w:szCs w:val="20"/>
        </w:rPr>
        <w:br/>
      </w:r>
    </w:p>
    <w:p w14:paraId="174F1B57" w14:textId="77777777" w:rsidR="00DA26A2" w:rsidRDefault="00000000">
      <w:pPr>
        <w:rPr>
          <w:sz w:val="20"/>
          <w:szCs w:val="20"/>
        </w:rPr>
      </w:pPr>
      <w:r>
        <w:rPr>
          <w:b/>
          <w:sz w:val="20"/>
          <w:szCs w:val="20"/>
        </w:rPr>
        <w:t>6</w:t>
      </w:r>
      <w:r>
        <w:rPr>
          <w:sz w:val="20"/>
          <w:szCs w:val="20"/>
        </w:rPr>
        <w:t xml:space="preserve"> Der Luftraum mit großem Oberlicht unterstreicht die offene, helle und moderne Raumstruktur des neuen Erweiterungsbaus im Innenhof. Foto: Andrea Flak</w:t>
      </w:r>
      <w:r>
        <w:rPr>
          <w:sz w:val="20"/>
          <w:szCs w:val="20"/>
        </w:rPr>
        <w:br/>
      </w:r>
    </w:p>
    <w:p w14:paraId="50D88DE1" w14:textId="77777777" w:rsidR="00DA26A2" w:rsidRDefault="00000000">
      <w:pPr>
        <w:rPr>
          <w:sz w:val="20"/>
          <w:szCs w:val="20"/>
        </w:rPr>
      </w:pPr>
      <w:r>
        <w:rPr>
          <w:b/>
          <w:sz w:val="20"/>
          <w:szCs w:val="20"/>
        </w:rPr>
        <w:t>7</w:t>
      </w:r>
      <w:r>
        <w:rPr>
          <w:sz w:val="20"/>
          <w:szCs w:val="20"/>
        </w:rPr>
        <w:t xml:space="preserve"> Die Spenderprodukte aus Edelstahl von HEWI verbinden Qualität und Funktionalität mit hohem Designanspruch. Foto: Andrea Flak</w:t>
      </w:r>
      <w:r>
        <w:rPr>
          <w:sz w:val="20"/>
          <w:szCs w:val="20"/>
        </w:rPr>
        <w:br/>
      </w:r>
    </w:p>
    <w:p w14:paraId="1EC7D033" w14:textId="3570A2AE" w:rsidR="00DA26A2" w:rsidRDefault="00000000">
      <w:pPr>
        <w:rPr>
          <w:sz w:val="20"/>
          <w:szCs w:val="20"/>
        </w:rPr>
      </w:pPr>
      <w:r>
        <w:rPr>
          <w:b/>
          <w:sz w:val="20"/>
          <w:szCs w:val="20"/>
        </w:rPr>
        <w:t>8</w:t>
      </w:r>
      <w:r>
        <w:rPr>
          <w:sz w:val="20"/>
          <w:szCs w:val="20"/>
        </w:rPr>
        <w:t xml:space="preserve"> Die bis ins Detail durchdachten </w:t>
      </w:r>
      <w:proofErr w:type="gramStart"/>
      <w:r>
        <w:rPr>
          <w:sz w:val="20"/>
          <w:szCs w:val="20"/>
        </w:rPr>
        <w:t>HEWI Accessoires</w:t>
      </w:r>
      <w:proofErr w:type="gramEnd"/>
      <w:r>
        <w:rPr>
          <w:sz w:val="20"/>
          <w:szCs w:val="20"/>
        </w:rPr>
        <w:t xml:space="preserve"> aus Edelstahl wirken besonders hochwertig. Gleichzeitig sind sie äußerst robust, hygienisch und pflegeleicht und damit prädestiniert für den stark frequentierten Hochschulbetrieb. Foto: Andrea Flak</w:t>
      </w:r>
      <w:r>
        <w:rPr>
          <w:sz w:val="20"/>
          <w:szCs w:val="20"/>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DA26A2" w14:paraId="11915634" w14:textId="77777777">
        <w:tc>
          <w:tcPr>
            <w:tcW w:w="2444" w:type="pct"/>
            <w:tcBorders>
              <w:top w:val="nil"/>
              <w:left w:val="nil"/>
              <w:bottom w:val="nil"/>
              <w:right w:val="nil"/>
            </w:tcBorders>
            <w:shd w:val="clear" w:color="auto" w:fill="auto"/>
            <w:tcMar>
              <w:top w:w="0" w:type="dxa"/>
              <w:left w:w="0" w:type="dxa"/>
              <w:bottom w:w="0" w:type="dxa"/>
              <w:right w:w="0" w:type="dxa"/>
            </w:tcMar>
          </w:tcPr>
          <w:p w14:paraId="728AF7BC" w14:textId="77777777" w:rsidR="00DA26A2" w:rsidRDefault="00000000">
            <w:pPr>
              <w:keepNext/>
              <w:keepLines/>
              <w:rPr>
                <w:sz w:val="14"/>
                <w:szCs w:val="14"/>
              </w:rPr>
            </w:pPr>
            <w:r>
              <w:rPr>
                <w:sz w:val="14"/>
                <w:szCs w:val="14"/>
              </w:rPr>
              <w:t>5.</w:t>
            </w:r>
          </w:p>
        </w:tc>
        <w:tc>
          <w:tcPr>
            <w:tcW w:w="112" w:type="pct"/>
            <w:tcBorders>
              <w:top w:val="nil"/>
              <w:left w:val="nil"/>
              <w:bottom w:val="nil"/>
              <w:right w:val="nil"/>
            </w:tcBorders>
            <w:shd w:val="clear" w:color="auto" w:fill="auto"/>
            <w:tcMar>
              <w:top w:w="0" w:type="dxa"/>
              <w:left w:w="0" w:type="dxa"/>
              <w:bottom w:w="0" w:type="dxa"/>
              <w:right w:w="0" w:type="dxa"/>
            </w:tcMar>
          </w:tcPr>
          <w:p w14:paraId="584EE4E0" w14:textId="77777777" w:rsidR="00DA26A2" w:rsidRDefault="00DA26A2">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65AF4FB2" w14:textId="77777777" w:rsidR="00DA26A2" w:rsidRDefault="00000000">
            <w:pPr>
              <w:keepNext/>
              <w:keepLines/>
              <w:rPr>
                <w:sz w:val="14"/>
                <w:szCs w:val="14"/>
              </w:rPr>
            </w:pPr>
            <w:r>
              <w:rPr>
                <w:sz w:val="14"/>
                <w:szCs w:val="14"/>
              </w:rPr>
              <w:t>6.</w:t>
            </w:r>
          </w:p>
        </w:tc>
      </w:tr>
      <w:tr w:rsidR="00DA26A2" w14:paraId="59495E57"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0FA4CA02" w14:textId="77777777" w:rsidR="00DA26A2" w:rsidRDefault="00000000">
            <w:pPr>
              <w:keepNext/>
              <w:keepLines/>
              <w:rPr>
                <w:sz w:val="14"/>
                <w:szCs w:val="14"/>
              </w:rPr>
            </w:pPr>
            <w:r>
              <w:rPr>
                <w:noProof/>
                <w:sz w:val="14"/>
                <w:szCs w:val="14"/>
              </w:rPr>
              <w:drawing>
                <wp:inline distT="0" distB="0" distL="0" distR="0" wp14:anchorId="2663F52E" wp14:editId="63C1B38F">
                  <wp:extent cx="2928620" cy="2014220"/>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dpi="0">
                          <a:blip r:embed="rId11"/>
                          <a:srcRect/>
                          <a:stretch>
                            <a:fillRect/>
                          </a:stretch>
                        </pic:blipFill>
                        <pic:spPr>
                          <a:xfrm>
                            <a:off x="0" y="0"/>
                            <a:ext cx="2928620"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3FE65C49" w14:textId="77777777" w:rsidR="00DA26A2" w:rsidRDefault="00DA26A2">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036F20C9" w14:textId="77777777" w:rsidR="00DA26A2" w:rsidRDefault="00000000">
            <w:pPr>
              <w:keepNext/>
              <w:keepLines/>
              <w:rPr>
                <w:sz w:val="14"/>
                <w:szCs w:val="14"/>
              </w:rPr>
            </w:pPr>
            <w:r>
              <w:rPr>
                <w:noProof/>
                <w:sz w:val="14"/>
                <w:szCs w:val="14"/>
              </w:rPr>
              <w:drawing>
                <wp:inline distT="0" distB="0" distL="0" distR="0" wp14:anchorId="19126A97" wp14:editId="728FDD12">
                  <wp:extent cx="2941320" cy="2014220"/>
                  <wp:effectExtent l="0" t="0" r="0" b="0"/>
                  <wp:docPr id="9"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dpi="0">
                          <a:blip r:embed="rId12"/>
                          <a:srcRect/>
                          <a:stretch>
                            <a:fillRect/>
                          </a:stretch>
                        </pic:blipFill>
                        <pic:spPr>
                          <a:xfrm>
                            <a:off x="0" y="0"/>
                            <a:ext cx="2941320" cy="2014220"/>
                          </a:xfrm>
                          <a:prstGeom prst="rect">
                            <a:avLst/>
                          </a:prstGeom>
                        </pic:spPr>
                      </pic:pic>
                    </a:graphicData>
                  </a:graphic>
                </wp:inline>
              </w:drawing>
            </w:r>
          </w:p>
        </w:tc>
      </w:tr>
      <w:tr w:rsidR="00DA26A2" w14:paraId="12B99320" w14:textId="77777777">
        <w:tc>
          <w:tcPr>
            <w:tcW w:w="2444" w:type="pct"/>
            <w:tcBorders>
              <w:top w:val="nil"/>
              <w:left w:val="nil"/>
              <w:bottom w:val="nil"/>
              <w:right w:val="nil"/>
            </w:tcBorders>
            <w:shd w:val="clear" w:color="auto" w:fill="auto"/>
            <w:tcMar>
              <w:top w:w="0" w:type="dxa"/>
              <w:left w:w="0" w:type="dxa"/>
              <w:bottom w:w="0" w:type="dxa"/>
              <w:right w:w="0" w:type="dxa"/>
            </w:tcMar>
          </w:tcPr>
          <w:p w14:paraId="6EB50698" w14:textId="77777777" w:rsidR="00DA26A2" w:rsidRDefault="00DA26A2">
            <w:pPr>
              <w:keepNext/>
              <w:keepLines/>
              <w:rPr>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14:paraId="31CAF100" w14:textId="77777777" w:rsidR="00DA26A2" w:rsidRDefault="00DA26A2">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518C6989" w14:textId="77777777" w:rsidR="00DA26A2" w:rsidRDefault="00DA26A2">
            <w:pPr>
              <w:keepNext/>
              <w:keepLines/>
              <w:rPr>
                <w:sz w:val="14"/>
                <w:szCs w:val="14"/>
              </w:rPr>
            </w:pPr>
          </w:p>
        </w:tc>
      </w:tr>
      <w:tr w:rsidR="00DA26A2" w14:paraId="236076C2" w14:textId="77777777">
        <w:tc>
          <w:tcPr>
            <w:tcW w:w="2444" w:type="pct"/>
            <w:tcBorders>
              <w:top w:val="nil"/>
              <w:left w:val="nil"/>
              <w:bottom w:val="nil"/>
              <w:right w:val="nil"/>
            </w:tcBorders>
            <w:shd w:val="clear" w:color="auto" w:fill="auto"/>
            <w:tcMar>
              <w:top w:w="0" w:type="dxa"/>
              <w:left w:w="0" w:type="dxa"/>
              <w:bottom w:w="0" w:type="dxa"/>
              <w:right w:w="0" w:type="dxa"/>
            </w:tcMar>
          </w:tcPr>
          <w:p w14:paraId="744DEABE" w14:textId="77777777" w:rsidR="00DA26A2" w:rsidRDefault="00000000">
            <w:pPr>
              <w:keepNext/>
              <w:keepLines/>
              <w:rPr>
                <w:sz w:val="14"/>
                <w:szCs w:val="14"/>
              </w:rPr>
            </w:pPr>
            <w:r>
              <w:rPr>
                <w:sz w:val="14"/>
                <w:szCs w:val="14"/>
              </w:rPr>
              <w:t>7.</w:t>
            </w:r>
          </w:p>
        </w:tc>
        <w:tc>
          <w:tcPr>
            <w:tcW w:w="112" w:type="pct"/>
            <w:tcBorders>
              <w:top w:val="nil"/>
              <w:left w:val="nil"/>
              <w:bottom w:val="nil"/>
              <w:right w:val="nil"/>
            </w:tcBorders>
            <w:shd w:val="clear" w:color="auto" w:fill="auto"/>
            <w:tcMar>
              <w:top w:w="0" w:type="dxa"/>
              <w:left w:w="0" w:type="dxa"/>
              <w:bottom w:w="0" w:type="dxa"/>
              <w:right w:w="0" w:type="dxa"/>
            </w:tcMar>
          </w:tcPr>
          <w:p w14:paraId="6C337D19" w14:textId="77777777" w:rsidR="00DA26A2" w:rsidRDefault="00DA26A2">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0E530E83" w14:textId="77777777" w:rsidR="00DA26A2" w:rsidRDefault="00000000">
            <w:pPr>
              <w:keepNext/>
              <w:keepLines/>
              <w:rPr>
                <w:sz w:val="14"/>
                <w:szCs w:val="14"/>
              </w:rPr>
            </w:pPr>
            <w:r>
              <w:rPr>
                <w:sz w:val="14"/>
                <w:szCs w:val="14"/>
              </w:rPr>
              <w:t>8.</w:t>
            </w:r>
          </w:p>
        </w:tc>
      </w:tr>
      <w:tr w:rsidR="00DA26A2" w14:paraId="59C2CC24"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46B8A8AC" w14:textId="77777777" w:rsidR="00DA26A2" w:rsidRDefault="00000000">
            <w:pPr>
              <w:keepNext/>
              <w:keepLines/>
              <w:rPr>
                <w:sz w:val="14"/>
                <w:szCs w:val="14"/>
              </w:rPr>
            </w:pPr>
            <w:r>
              <w:rPr>
                <w:noProof/>
                <w:sz w:val="14"/>
                <w:szCs w:val="14"/>
              </w:rPr>
              <w:drawing>
                <wp:inline distT="0" distB="0" distL="0" distR="0" wp14:anchorId="142100EA" wp14:editId="512CD0C5">
                  <wp:extent cx="3023235" cy="2014220"/>
                  <wp:effectExtent l="0" t="0" r="0" b="0"/>
                  <wp:docPr id="10"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dpi="0">
                          <a:blip r:embed="rId13"/>
                          <a:srcRect/>
                          <a:stretch>
                            <a:fillRect/>
                          </a:stretch>
                        </pic:blipFill>
                        <pic:spPr>
                          <a:xfrm>
                            <a:off x="0" y="0"/>
                            <a:ext cx="3023235"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352BB12A" w14:textId="77777777" w:rsidR="00DA26A2" w:rsidRDefault="00DA26A2">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68387A90" w14:textId="77777777" w:rsidR="00DA26A2" w:rsidRDefault="00000000">
            <w:pPr>
              <w:keepNext/>
              <w:keepLines/>
              <w:rPr>
                <w:sz w:val="14"/>
                <w:szCs w:val="14"/>
              </w:rPr>
            </w:pPr>
            <w:r>
              <w:rPr>
                <w:noProof/>
                <w:sz w:val="14"/>
                <w:szCs w:val="14"/>
              </w:rPr>
              <w:drawing>
                <wp:inline distT="0" distB="0" distL="0" distR="0" wp14:anchorId="3F520582" wp14:editId="48AA344D">
                  <wp:extent cx="3023235" cy="2014220"/>
                  <wp:effectExtent l="0" t="0" r="0" b="0"/>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dpi="0">
                          <a:blip r:embed="rId14"/>
                          <a:srcRect/>
                          <a:stretch>
                            <a:fillRect/>
                          </a:stretch>
                        </pic:blipFill>
                        <pic:spPr>
                          <a:xfrm>
                            <a:off x="0" y="0"/>
                            <a:ext cx="3023235" cy="2014220"/>
                          </a:xfrm>
                          <a:prstGeom prst="rect">
                            <a:avLst/>
                          </a:prstGeom>
                        </pic:spPr>
                      </pic:pic>
                    </a:graphicData>
                  </a:graphic>
                </wp:inline>
              </w:drawing>
            </w:r>
          </w:p>
        </w:tc>
      </w:tr>
    </w:tbl>
    <w:p w14:paraId="211E5526" w14:textId="77777777" w:rsidR="00DA26A2" w:rsidRDefault="00000000">
      <w:r>
        <w:br w:type="page"/>
      </w:r>
    </w:p>
    <w:p w14:paraId="23B56501" w14:textId="77777777" w:rsidR="00DA26A2" w:rsidRDefault="00000000">
      <w:pPr>
        <w:rPr>
          <w:sz w:val="20"/>
          <w:szCs w:val="20"/>
        </w:rPr>
      </w:pPr>
      <w:r>
        <w:rPr>
          <w:b/>
          <w:sz w:val="20"/>
          <w:szCs w:val="20"/>
        </w:rPr>
        <w:lastRenderedPageBreak/>
        <w:t>9</w:t>
      </w:r>
      <w:r>
        <w:rPr>
          <w:sz w:val="20"/>
          <w:szCs w:val="20"/>
        </w:rPr>
        <w:t xml:space="preserve"> Besondere Sicherheit bei eingeschränkter Mobilität bietet die Kombination aus Rückenstütze und Stützklappgriff von HEWI. Foto: Andrea Flak</w:t>
      </w:r>
      <w:r>
        <w:rPr>
          <w:sz w:val="20"/>
          <w:szCs w:val="20"/>
        </w:rPr>
        <w:br/>
      </w:r>
    </w:p>
    <w:p w14:paraId="00F094CF" w14:textId="3D1DCF38" w:rsidR="00DA26A2" w:rsidRDefault="00000000">
      <w:pPr>
        <w:rPr>
          <w:sz w:val="20"/>
          <w:szCs w:val="20"/>
        </w:rPr>
      </w:pPr>
      <w:r>
        <w:rPr>
          <w:b/>
          <w:sz w:val="20"/>
          <w:szCs w:val="20"/>
        </w:rPr>
        <w:t>10</w:t>
      </w:r>
      <w:r>
        <w:rPr>
          <w:sz w:val="20"/>
          <w:szCs w:val="20"/>
        </w:rPr>
        <w:t xml:space="preserve"> Nahezu unsichtbar wirkt die polierte Edelstahlfassade des „Cube“ durch ihre stark reflektierenden Eigenschaften. Foto: Andrea Flak</w:t>
      </w:r>
      <w:r>
        <w:rPr>
          <w:sz w:val="20"/>
          <w:szCs w:val="20"/>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DA26A2" w14:paraId="0E3B497E" w14:textId="77777777">
        <w:tc>
          <w:tcPr>
            <w:tcW w:w="2444" w:type="pct"/>
            <w:tcBorders>
              <w:top w:val="nil"/>
              <w:left w:val="nil"/>
              <w:bottom w:val="nil"/>
              <w:right w:val="nil"/>
            </w:tcBorders>
            <w:shd w:val="clear" w:color="auto" w:fill="auto"/>
            <w:tcMar>
              <w:top w:w="0" w:type="dxa"/>
              <w:left w:w="0" w:type="dxa"/>
              <w:bottom w:w="0" w:type="dxa"/>
              <w:right w:w="0" w:type="dxa"/>
            </w:tcMar>
          </w:tcPr>
          <w:p w14:paraId="28897A94" w14:textId="77777777" w:rsidR="00DA26A2" w:rsidRDefault="00000000">
            <w:pPr>
              <w:keepNext/>
              <w:keepLines/>
              <w:rPr>
                <w:sz w:val="14"/>
                <w:szCs w:val="14"/>
              </w:rPr>
            </w:pPr>
            <w:r>
              <w:rPr>
                <w:sz w:val="14"/>
                <w:szCs w:val="14"/>
              </w:rPr>
              <w:t>9.</w:t>
            </w:r>
          </w:p>
        </w:tc>
        <w:tc>
          <w:tcPr>
            <w:tcW w:w="112" w:type="pct"/>
            <w:tcBorders>
              <w:top w:val="nil"/>
              <w:left w:val="nil"/>
              <w:bottom w:val="nil"/>
              <w:right w:val="nil"/>
            </w:tcBorders>
            <w:shd w:val="clear" w:color="auto" w:fill="auto"/>
            <w:tcMar>
              <w:top w:w="0" w:type="dxa"/>
              <w:left w:w="0" w:type="dxa"/>
              <w:bottom w:w="0" w:type="dxa"/>
              <w:right w:w="0" w:type="dxa"/>
            </w:tcMar>
          </w:tcPr>
          <w:p w14:paraId="3D304E24" w14:textId="77777777" w:rsidR="00DA26A2" w:rsidRDefault="00DA26A2">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0132A046" w14:textId="77777777" w:rsidR="00DA26A2" w:rsidRDefault="00000000">
            <w:pPr>
              <w:keepNext/>
              <w:keepLines/>
              <w:rPr>
                <w:sz w:val="14"/>
                <w:szCs w:val="14"/>
              </w:rPr>
            </w:pPr>
            <w:r>
              <w:rPr>
                <w:sz w:val="14"/>
                <w:szCs w:val="14"/>
              </w:rPr>
              <w:t>10.</w:t>
            </w:r>
          </w:p>
        </w:tc>
      </w:tr>
      <w:tr w:rsidR="00DA26A2" w14:paraId="7C53E8C9"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137F12C3" w14:textId="77777777" w:rsidR="00DA26A2" w:rsidRDefault="00000000">
            <w:pPr>
              <w:keepNext/>
              <w:keepLines/>
              <w:rPr>
                <w:sz w:val="14"/>
                <w:szCs w:val="14"/>
              </w:rPr>
            </w:pPr>
            <w:r>
              <w:rPr>
                <w:noProof/>
                <w:sz w:val="14"/>
                <w:szCs w:val="14"/>
              </w:rPr>
              <w:drawing>
                <wp:inline distT="0" distB="0" distL="0" distR="0" wp14:anchorId="44A55347" wp14:editId="15789473">
                  <wp:extent cx="3023235" cy="2014220"/>
                  <wp:effectExtent l="0" t="0" r="0" b="0"/>
                  <wp:docPr id="12" name="Pictu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dpi="0">
                          <a:blip r:embed="rId15"/>
                          <a:srcRect/>
                          <a:stretch>
                            <a:fillRect/>
                          </a:stretch>
                        </pic:blipFill>
                        <pic:spPr>
                          <a:xfrm>
                            <a:off x="0" y="0"/>
                            <a:ext cx="3023235"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0CFF735C" w14:textId="77777777" w:rsidR="00DA26A2" w:rsidRDefault="00DA26A2">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3EF94835" w14:textId="77777777" w:rsidR="00DA26A2" w:rsidRDefault="00000000">
            <w:pPr>
              <w:keepNext/>
              <w:keepLines/>
              <w:rPr>
                <w:sz w:val="14"/>
                <w:szCs w:val="14"/>
              </w:rPr>
            </w:pPr>
            <w:r>
              <w:rPr>
                <w:noProof/>
                <w:sz w:val="14"/>
                <w:szCs w:val="14"/>
              </w:rPr>
              <w:drawing>
                <wp:inline distT="0" distB="0" distL="0" distR="0" wp14:anchorId="4DE3C875" wp14:editId="368E11B0">
                  <wp:extent cx="1468755" cy="2014220"/>
                  <wp:effectExtent l="0" t="0" r="0" b="0"/>
                  <wp:docPr id="13"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dpi="0">
                          <a:blip r:embed="rId16"/>
                          <a:srcRect/>
                          <a:stretch>
                            <a:fillRect/>
                          </a:stretch>
                        </pic:blipFill>
                        <pic:spPr>
                          <a:xfrm>
                            <a:off x="0" y="0"/>
                            <a:ext cx="1468755" cy="2014220"/>
                          </a:xfrm>
                          <a:prstGeom prst="rect">
                            <a:avLst/>
                          </a:prstGeom>
                        </pic:spPr>
                      </pic:pic>
                    </a:graphicData>
                  </a:graphic>
                </wp:inline>
              </w:drawing>
            </w:r>
          </w:p>
        </w:tc>
      </w:tr>
      <w:tr w:rsidR="00DA26A2" w14:paraId="222F6BBD" w14:textId="77777777">
        <w:tc>
          <w:tcPr>
            <w:tcW w:w="2444" w:type="pct"/>
            <w:tcBorders>
              <w:top w:val="nil"/>
              <w:left w:val="nil"/>
              <w:bottom w:val="nil"/>
              <w:right w:val="nil"/>
            </w:tcBorders>
            <w:shd w:val="clear" w:color="auto" w:fill="auto"/>
            <w:tcMar>
              <w:top w:w="0" w:type="dxa"/>
              <w:left w:w="0" w:type="dxa"/>
              <w:bottom w:w="0" w:type="dxa"/>
              <w:right w:w="0" w:type="dxa"/>
            </w:tcMar>
          </w:tcPr>
          <w:p w14:paraId="3A167323" w14:textId="77777777" w:rsidR="00DA26A2" w:rsidRDefault="00DA26A2">
            <w:pPr>
              <w:keepNext/>
              <w:keepLines/>
              <w:rPr>
                <w:sz w:val="20"/>
                <w:szCs w:val="20"/>
              </w:rPr>
            </w:pPr>
          </w:p>
        </w:tc>
        <w:tc>
          <w:tcPr>
            <w:tcW w:w="112" w:type="pct"/>
            <w:tcBorders>
              <w:top w:val="nil"/>
              <w:left w:val="nil"/>
              <w:bottom w:val="nil"/>
              <w:right w:val="nil"/>
            </w:tcBorders>
            <w:shd w:val="clear" w:color="auto" w:fill="auto"/>
            <w:tcMar>
              <w:top w:w="0" w:type="dxa"/>
              <w:left w:w="0" w:type="dxa"/>
              <w:bottom w:w="0" w:type="dxa"/>
              <w:right w:w="0" w:type="dxa"/>
            </w:tcMar>
          </w:tcPr>
          <w:p w14:paraId="0A4BD2F8" w14:textId="77777777" w:rsidR="00DA26A2" w:rsidRDefault="00DA26A2">
            <w:pPr>
              <w:keepNext/>
              <w:keepLines/>
              <w:rPr>
                <w:sz w:val="20"/>
                <w:szCs w:val="20"/>
              </w:rPr>
            </w:pPr>
          </w:p>
        </w:tc>
        <w:tc>
          <w:tcPr>
            <w:tcW w:w="2444" w:type="pct"/>
            <w:tcBorders>
              <w:top w:val="nil"/>
              <w:left w:val="nil"/>
              <w:bottom w:val="nil"/>
              <w:right w:val="nil"/>
            </w:tcBorders>
            <w:shd w:val="clear" w:color="auto" w:fill="auto"/>
            <w:tcMar>
              <w:top w:w="0" w:type="dxa"/>
              <w:left w:w="0" w:type="dxa"/>
              <w:bottom w:w="0" w:type="dxa"/>
              <w:right w:w="0" w:type="dxa"/>
            </w:tcMar>
          </w:tcPr>
          <w:p w14:paraId="19E931FD" w14:textId="77777777" w:rsidR="00DA26A2" w:rsidRDefault="00DA26A2">
            <w:pPr>
              <w:keepNext/>
              <w:keepLines/>
              <w:rPr>
                <w:sz w:val="20"/>
                <w:szCs w:val="20"/>
              </w:rPr>
            </w:pPr>
          </w:p>
        </w:tc>
      </w:tr>
      <w:tr w:rsidR="00DA26A2" w14:paraId="5A07232A" w14:textId="77777777">
        <w:tc>
          <w:tcPr>
            <w:tcW w:w="2444" w:type="pct"/>
            <w:tcBorders>
              <w:top w:val="nil"/>
              <w:left w:val="nil"/>
              <w:bottom w:val="nil"/>
              <w:right w:val="nil"/>
            </w:tcBorders>
            <w:shd w:val="clear" w:color="auto" w:fill="auto"/>
            <w:tcMar>
              <w:top w:w="0" w:type="dxa"/>
              <w:left w:w="0" w:type="dxa"/>
              <w:bottom w:w="0" w:type="dxa"/>
              <w:right w:w="0" w:type="dxa"/>
            </w:tcMar>
          </w:tcPr>
          <w:p w14:paraId="1044E750" w14:textId="77777777" w:rsidR="00DA26A2" w:rsidRDefault="00DA26A2">
            <w:pPr>
              <w:keepNext/>
              <w:keepLines/>
              <w:rPr>
                <w:sz w:val="20"/>
                <w:szCs w:val="20"/>
              </w:rPr>
            </w:pPr>
          </w:p>
        </w:tc>
        <w:tc>
          <w:tcPr>
            <w:tcW w:w="112" w:type="pct"/>
            <w:tcBorders>
              <w:top w:val="nil"/>
              <w:left w:val="nil"/>
              <w:bottom w:val="nil"/>
              <w:right w:val="nil"/>
            </w:tcBorders>
            <w:shd w:val="clear" w:color="auto" w:fill="auto"/>
            <w:tcMar>
              <w:top w:w="0" w:type="dxa"/>
              <w:left w:w="0" w:type="dxa"/>
              <w:bottom w:w="0" w:type="dxa"/>
              <w:right w:w="0" w:type="dxa"/>
            </w:tcMar>
          </w:tcPr>
          <w:p w14:paraId="3E6A9DA3" w14:textId="77777777" w:rsidR="00DA26A2" w:rsidRDefault="00DA26A2">
            <w:pPr>
              <w:keepNext/>
              <w:keepLines/>
              <w:rPr>
                <w:sz w:val="20"/>
                <w:szCs w:val="20"/>
              </w:rPr>
            </w:pPr>
          </w:p>
        </w:tc>
        <w:tc>
          <w:tcPr>
            <w:tcW w:w="2444" w:type="pct"/>
            <w:tcBorders>
              <w:top w:val="nil"/>
              <w:left w:val="nil"/>
              <w:bottom w:val="nil"/>
              <w:right w:val="nil"/>
            </w:tcBorders>
            <w:shd w:val="clear" w:color="auto" w:fill="auto"/>
            <w:tcMar>
              <w:top w:w="0" w:type="dxa"/>
              <w:left w:w="0" w:type="dxa"/>
              <w:bottom w:w="0" w:type="dxa"/>
              <w:right w:w="0" w:type="dxa"/>
            </w:tcMar>
          </w:tcPr>
          <w:p w14:paraId="1B2E4B30" w14:textId="77777777" w:rsidR="00DA26A2" w:rsidRDefault="00DA26A2">
            <w:pPr>
              <w:keepNext/>
              <w:keepLines/>
              <w:rPr>
                <w:sz w:val="20"/>
                <w:szCs w:val="20"/>
              </w:rPr>
            </w:pPr>
          </w:p>
        </w:tc>
      </w:tr>
      <w:tr w:rsidR="00DA26A2" w14:paraId="1F935D0D" w14:textId="77777777">
        <w:tc>
          <w:tcPr>
            <w:tcW w:w="2444" w:type="pct"/>
            <w:tcBorders>
              <w:top w:val="nil"/>
              <w:left w:val="nil"/>
              <w:bottom w:val="nil"/>
              <w:right w:val="nil"/>
            </w:tcBorders>
            <w:shd w:val="clear" w:color="auto" w:fill="auto"/>
            <w:tcMar>
              <w:top w:w="0" w:type="dxa"/>
              <w:left w:w="0" w:type="dxa"/>
              <w:bottom w:w="0" w:type="dxa"/>
              <w:right w:w="0" w:type="dxa"/>
            </w:tcMar>
          </w:tcPr>
          <w:p w14:paraId="5EDCDAF9" w14:textId="77777777" w:rsidR="00DA26A2" w:rsidRDefault="00DA26A2">
            <w:pPr>
              <w:keepNext/>
              <w:keepLines/>
              <w:rPr>
                <w:sz w:val="20"/>
                <w:szCs w:val="20"/>
              </w:rPr>
            </w:pPr>
          </w:p>
        </w:tc>
        <w:tc>
          <w:tcPr>
            <w:tcW w:w="112" w:type="pct"/>
            <w:tcBorders>
              <w:top w:val="nil"/>
              <w:left w:val="nil"/>
              <w:bottom w:val="nil"/>
              <w:right w:val="nil"/>
            </w:tcBorders>
            <w:shd w:val="clear" w:color="auto" w:fill="auto"/>
            <w:tcMar>
              <w:top w:w="0" w:type="dxa"/>
              <w:left w:w="0" w:type="dxa"/>
              <w:bottom w:w="0" w:type="dxa"/>
              <w:right w:w="0" w:type="dxa"/>
            </w:tcMar>
          </w:tcPr>
          <w:p w14:paraId="59C95EB1" w14:textId="77777777" w:rsidR="00DA26A2" w:rsidRDefault="00DA26A2">
            <w:pPr>
              <w:keepNext/>
              <w:keepLines/>
              <w:rPr>
                <w:sz w:val="20"/>
                <w:szCs w:val="20"/>
              </w:rPr>
            </w:pPr>
          </w:p>
        </w:tc>
        <w:tc>
          <w:tcPr>
            <w:tcW w:w="2444" w:type="pct"/>
            <w:tcBorders>
              <w:top w:val="nil"/>
              <w:left w:val="nil"/>
              <w:bottom w:val="nil"/>
              <w:right w:val="nil"/>
            </w:tcBorders>
            <w:shd w:val="clear" w:color="auto" w:fill="auto"/>
            <w:tcMar>
              <w:top w:w="0" w:type="dxa"/>
              <w:left w:w="0" w:type="dxa"/>
              <w:bottom w:w="0" w:type="dxa"/>
              <w:right w:w="0" w:type="dxa"/>
            </w:tcMar>
          </w:tcPr>
          <w:p w14:paraId="1D429D25" w14:textId="77777777" w:rsidR="00DA26A2" w:rsidRDefault="00DA26A2">
            <w:pPr>
              <w:keepNext/>
              <w:keepLines/>
              <w:rPr>
                <w:sz w:val="20"/>
                <w:szCs w:val="20"/>
              </w:rPr>
            </w:pPr>
          </w:p>
        </w:tc>
      </w:tr>
    </w:tbl>
    <w:p w14:paraId="73656F92" w14:textId="77777777" w:rsidR="00DA26A2" w:rsidRDefault="00000000">
      <w:r>
        <w:br w:type="page"/>
      </w:r>
    </w:p>
    <w:tbl>
      <w:tblPr>
        <w:tblStyle w:val="TabelleEinfach1"/>
        <w:tblW w:w="5000" w:type="pct"/>
        <w:tblLayout w:type="fixed"/>
        <w:tblCellMar>
          <w:left w:w="0" w:type="dxa"/>
          <w:right w:w="227" w:type="dxa"/>
        </w:tblCellMar>
        <w:tblLook w:val="04A0" w:firstRow="1" w:lastRow="0" w:firstColumn="1" w:lastColumn="0" w:noHBand="0" w:noVBand="1"/>
      </w:tblPr>
      <w:tblGrid>
        <w:gridCol w:w="2232"/>
        <w:gridCol w:w="2233"/>
        <w:gridCol w:w="2233"/>
        <w:gridCol w:w="690"/>
        <w:gridCol w:w="2364"/>
      </w:tblGrid>
      <w:tr w:rsidR="00DA26A2" w14:paraId="0F2BA019" w14:textId="77777777">
        <w:tc>
          <w:tcPr>
            <w:tcW w:w="3400" w:type="pct"/>
            <w:gridSpan w:val="3"/>
            <w:tcBorders>
              <w:top w:val="nil"/>
              <w:left w:val="nil"/>
              <w:bottom w:val="nil"/>
              <w:right w:val="nil"/>
            </w:tcBorders>
            <w:shd w:val="clear" w:color="auto" w:fill="auto"/>
            <w:tcMar>
              <w:top w:w="0" w:type="dxa"/>
              <w:left w:w="0" w:type="dxa"/>
              <w:bottom w:w="0" w:type="dxa"/>
              <w:right w:w="227" w:type="dxa"/>
            </w:tcMar>
          </w:tcPr>
          <w:p w14:paraId="1576288E" w14:textId="77777777" w:rsidR="00DA26A2" w:rsidRDefault="00000000">
            <w:pPr>
              <w:spacing w:before="240" w:after="240"/>
              <w:rPr>
                <w:sz w:val="24"/>
                <w:szCs w:val="24"/>
              </w:rPr>
            </w:pPr>
            <w:r>
              <w:rPr>
                <w:b/>
                <w:sz w:val="24"/>
                <w:szCs w:val="24"/>
              </w:rPr>
              <w:lastRenderedPageBreak/>
              <w:t>HEWI Heinrich Wilke GmbH</w:t>
            </w:r>
          </w:p>
          <w:p w14:paraId="70FE9471" w14:textId="77777777" w:rsidR="00DA26A2" w:rsidRDefault="00000000">
            <w:pPr>
              <w:spacing w:before="240" w:after="240"/>
              <w:rPr>
                <w:sz w:val="24"/>
                <w:szCs w:val="24"/>
              </w:rPr>
            </w:pPr>
            <w:r>
              <w:rPr>
                <w:sz w:val="24"/>
                <w:szCs w:val="24"/>
              </w:rPr>
              <w:t>Seit seiner Gründung 1929 hat sich HEWI zu einem Systemanbieter für übergreifende Lösungen in den Bereichen Baubeschlag, Sanitär-Accessoires sowie barrierefreier Produkte entwickelt. In den vergangenen 90 Jahren ist das Unternehmen zum Themenführer im Bereich Barrierefreiheit und zum anerkannten Experten in Sachen Systemdesign gewachsen. Gemäß des Universal Designs stehen für HEWI die individuellen Bedürfnisse des Menschen im Mittelpunkt. </w:t>
            </w:r>
          </w:p>
          <w:p w14:paraId="7191B07A" w14:textId="77777777" w:rsidR="00DA26A2" w:rsidRDefault="00000000">
            <w:pPr>
              <w:rPr>
                <w:sz w:val="24"/>
                <w:szCs w:val="24"/>
              </w:rPr>
            </w:pPr>
            <w:r>
              <w:rPr>
                <w:sz w:val="24"/>
                <w:szCs w:val="24"/>
              </w:rPr>
              <w:br/>
            </w:r>
          </w:p>
        </w:tc>
        <w:tc>
          <w:tcPr>
            <w:tcW w:w="350" w:type="pct"/>
            <w:tcBorders>
              <w:top w:val="nil"/>
              <w:left w:val="nil"/>
              <w:bottom w:val="nil"/>
              <w:right w:val="nil"/>
            </w:tcBorders>
            <w:shd w:val="clear" w:color="auto" w:fill="auto"/>
            <w:tcMar>
              <w:top w:w="0" w:type="dxa"/>
              <w:left w:w="0" w:type="dxa"/>
              <w:bottom w:w="0" w:type="dxa"/>
              <w:right w:w="227" w:type="dxa"/>
            </w:tcMar>
          </w:tcPr>
          <w:p w14:paraId="7D2C3B37" w14:textId="77777777" w:rsidR="00DA26A2" w:rsidRDefault="00DA26A2">
            <w:pPr>
              <w:rPr>
                <w:sz w:val="24"/>
                <w:szCs w:val="24"/>
              </w:rPr>
            </w:pPr>
          </w:p>
        </w:tc>
        <w:tc>
          <w:tcPr>
            <w:tcW w:w="1200" w:type="pct"/>
            <w:tcBorders>
              <w:top w:val="nil"/>
              <w:left w:val="nil"/>
              <w:bottom w:val="nil"/>
              <w:right w:val="nil"/>
            </w:tcBorders>
            <w:shd w:val="clear" w:color="auto" w:fill="auto"/>
            <w:tcMar>
              <w:top w:w="0" w:type="dxa"/>
              <w:left w:w="0" w:type="dxa"/>
              <w:bottom w:w="0" w:type="dxa"/>
              <w:right w:w="227" w:type="dxa"/>
            </w:tcMar>
          </w:tcPr>
          <w:p w14:paraId="24E8B9C6" w14:textId="77777777" w:rsidR="00DA26A2" w:rsidRDefault="00000000">
            <w:pPr>
              <w:rPr>
                <w:sz w:val="24"/>
                <w:szCs w:val="24"/>
              </w:rPr>
            </w:pPr>
            <w:r>
              <w:rPr>
                <w:sz w:val="24"/>
                <w:szCs w:val="24"/>
              </w:rPr>
              <w:br/>
            </w:r>
          </w:p>
        </w:tc>
      </w:tr>
      <w:tr w:rsidR="00DA26A2" w14:paraId="16A18D2C" w14:textId="77777777">
        <w:trPr>
          <w:gridAfter w:val="2"/>
          <w:wAfter w:w="2232" w:type="dxa"/>
        </w:trPr>
        <w:tc>
          <w:tcPr>
            <w:tcW w:w="1656" w:type="dxa"/>
            <w:tcBorders>
              <w:top w:val="nil"/>
              <w:left w:val="nil"/>
              <w:bottom w:val="nil"/>
              <w:right w:val="nil"/>
            </w:tcBorders>
            <w:shd w:val="clear" w:color="auto" w:fill="auto"/>
            <w:tcMar>
              <w:top w:w="0" w:type="dxa"/>
              <w:left w:w="0" w:type="dxa"/>
              <w:bottom w:w="0" w:type="dxa"/>
              <w:right w:w="227" w:type="dxa"/>
            </w:tcMar>
          </w:tcPr>
          <w:p w14:paraId="17A99748" w14:textId="77777777" w:rsidR="00DA26A2" w:rsidRDefault="00DA26A2">
            <w:pPr>
              <w:rPr>
                <w:sz w:val="24"/>
                <w:szCs w:val="24"/>
              </w:rPr>
            </w:pPr>
          </w:p>
        </w:tc>
        <w:tc>
          <w:tcPr>
            <w:tcW w:w="1656" w:type="dxa"/>
            <w:tcBorders>
              <w:top w:val="nil"/>
              <w:left w:val="nil"/>
              <w:bottom w:val="nil"/>
              <w:right w:val="nil"/>
            </w:tcBorders>
            <w:shd w:val="clear" w:color="auto" w:fill="auto"/>
            <w:tcMar>
              <w:top w:w="0" w:type="dxa"/>
              <w:left w:w="0" w:type="dxa"/>
              <w:bottom w:w="0" w:type="dxa"/>
              <w:right w:w="227" w:type="dxa"/>
            </w:tcMar>
          </w:tcPr>
          <w:p w14:paraId="601D6179" w14:textId="77777777" w:rsidR="00DA26A2" w:rsidRDefault="00DA26A2">
            <w:pPr>
              <w:rPr>
                <w:sz w:val="24"/>
                <w:szCs w:val="24"/>
              </w:rPr>
            </w:pPr>
          </w:p>
        </w:tc>
        <w:tc>
          <w:tcPr>
            <w:tcW w:w="1656" w:type="dxa"/>
            <w:tcBorders>
              <w:top w:val="nil"/>
              <w:left w:val="nil"/>
              <w:bottom w:val="nil"/>
              <w:right w:val="nil"/>
            </w:tcBorders>
            <w:shd w:val="clear" w:color="auto" w:fill="auto"/>
            <w:tcMar>
              <w:top w:w="0" w:type="dxa"/>
              <w:left w:w="0" w:type="dxa"/>
              <w:bottom w:w="0" w:type="dxa"/>
              <w:right w:w="227" w:type="dxa"/>
            </w:tcMar>
          </w:tcPr>
          <w:p w14:paraId="62314143" w14:textId="77777777" w:rsidR="00DA26A2" w:rsidRDefault="00DA26A2">
            <w:pPr>
              <w:rPr>
                <w:sz w:val="24"/>
                <w:szCs w:val="24"/>
              </w:rPr>
            </w:pPr>
          </w:p>
        </w:tc>
      </w:tr>
    </w:tbl>
    <w:p w14:paraId="4EB17EB1" w14:textId="77777777" w:rsidR="00DA26A2" w:rsidRDefault="00DA26A2"/>
    <w:sectPr w:rsidR="00DA26A2">
      <w:headerReference w:type="default" r:id="rId17"/>
      <w:footerReference w:type="default" r:id="rId18"/>
      <w:headerReference w:type="first" r:id="rId19"/>
      <w:footerReference w:type="first" r:id="rId20"/>
      <w:pgSz w:w="11906" w:h="16838"/>
      <w:pgMar w:top="2778" w:right="1020" w:bottom="1134" w:left="1134" w:header="964" w:footer="283"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E9ABCE6" w14:textId="77777777" w:rsidR="0099518E" w:rsidRDefault="0099518E">
      <w:pPr>
        <w:spacing w:line="240" w:lineRule="auto"/>
      </w:pPr>
      <w:r>
        <w:separator/>
      </w:r>
    </w:p>
  </w:endnote>
  <w:endnote w:type="continuationSeparator" w:id="0">
    <w:p w14:paraId="28CA26CE" w14:textId="77777777" w:rsidR="0099518E" w:rsidRDefault="0099518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Roboto">
    <w:panose1 w:val="020B0604020202020204"/>
    <w:charset w:val="00"/>
    <w:family w:val="auto"/>
    <w:pitch w:val="variable"/>
    <w:sig w:usb0="E0000AFF" w:usb1="5000217F" w:usb2="00000021" w:usb3="00000000" w:csb0="000001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ACF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leEinfach1"/>
      <w:tblW w:w="5000" w:type="pct"/>
      <w:tblLayout w:type="fixed"/>
      <w:tblLook w:val="04A0" w:firstRow="1" w:lastRow="0" w:firstColumn="1" w:lastColumn="0" w:noHBand="0" w:noVBand="1"/>
    </w:tblPr>
    <w:tblGrid>
      <w:gridCol w:w="9557"/>
      <w:gridCol w:w="195"/>
    </w:tblGrid>
    <w:tr w:rsidR="00DA26A2" w14:paraId="43E69EDA" w14:textId="77777777">
      <w:tc>
        <w:tcPr>
          <w:tcW w:w="4900" w:type="pct"/>
          <w:tcBorders>
            <w:top w:val="nil"/>
            <w:left w:val="nil"/>
            <w:bottom w:val="nil"/>
            <w:right w:val="nil"/>
          </w:tcBorders>
          <w:shd w:val="clear" w:color="auto" w:fill="auto"/>
          <w:tcMar>
            <w:top w:w="0" w:type="dxa"/>
            <w:left w:w="0" w:type="dxa"/>
            <w:bottom w:w="0" w:type="dxa"/>
            <w:right w:w="0" w:type="dxa"/>
          </w:tcMar>
          <w:vAlign w:val="bottom"/>
        </w:tcPr>
        <w:p w14:paraId="4271DF7D" w14:textId="77777777" w:rsidR="00DA26A2" w:rsidRDefault="00DA26A2">
          <w:pPr>
            <w:rPr>
              <w:sz w:val="24"/>
              <w:szCs w:val="24"/>
            </w:rPr>
          </w:pPr>
        </w:p>
      </w:tc>
      <w:tc>
        <w:tcPr>
          <w:tcW w:w="100" w:type="pct"/>
          <w:tcBorders>
            <w:top w:val="nil"/>
            <w:left w:val="nil"/>
            <w:bottom w:val="nil"/>
            <w:right w:val="nil"/>
          </w:tcBorders>
          <w:shd w:val="clear" w:color="auto" w:fill="auto"/>
          <w:tcMar>
            <w:top w:w="0" w:type="dxa"/>
            <w:left w:w="0" w:type="dxa"/>
            <w:bottom w:w="0" w:type="dxa"/>
            <w:right w:w="0" w:type="dxa"/>
          </w:tcMar>
          <w:vAlign w:val="bottom"/>
        </w:tcPr>
        <w:p w14:paraId="25979973" w14:textId="77777777" w:rsidR="00DA26A2" w:rsidRDefault="00000000">
          <w:pPr>
            <w:rPr>
              <w:sz w:val="24"/>
              <w:szCs w:val="24"/>
            </w:rPr>
          </w:pPr>
          <w:r>
            <w:rPr>
              <w:sz w:val="24"/>
              <w:szCs w:val="24"/>
            </w:rPr>
            <w:fldChar w:fldCharType="begin"/>
          </w:r>
          <w:r>
            <w:rPr>
              <w:sz w:val="24"/>
              <w:szCs w:val="24"/>
            </w:rPr>
            <w:instrText>PAGE \* ARABIC</w:instrText>
          </w:r>
          <w:r>
            <w:rPr>
              <w:sz w:val="24"/>
              <w:szCs w:val="24"/>
            </w:rPr>
            <w:fldChar w:fldCharType="separate"/>
          </w:r>
          <w:r>
            <w:rPr>
              <w:sz w:val="24"/>
              <w:szCs w:val="24"/>
            </w:rPr>
            <w:t>#</w:t>
          </w:r>
          <w:r>
            <w:rPr>
              <w:sz w:val="24"/>
              <w:szCs w:val="24"/>
            </w:rPr>
            <w:fldChar w:fldCharType="end"/>
          </w:r>
        </w:p>
      </w:tc>
    </w:tr>
  </w:tbl>
  <w:p w14:paraId="0168F561" w14:textId="77777777" w:rsidR="00DA26A2" w:rsidRDefault="00DA26A2">
    <w:pPr>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leEinfach1"/>
      <w:tblW w:w="5000" w:type="pct"/>
      <w:tblLayout w:type="fixed"/>
      <w:tblCellMar>
        <w:left w:w="0" w:type="dxa"/>
        <w:right w:w="0" w:type="dxa"/>
      </w:tblCellMar>
      <w:tblLook w:val="04A0" w:firstRow="1" w:lastRow="0" w:firstColumn="1" w:lastColumn="0" w:noHBand="0" w:noVBand="1"/>
    </w:tblPr>
    <w:tblGrid>
      <w:gridCol w:w="9557"/>
      <w:gridCol w:w="195"/>
    </w:tblGrid>
    <w:tr w:rsidR="00DA26A2" w14:paraId="3204C39F" w14:textId="77777777">
      <w:tc>
        <w:tcPr>
          <w:tcW w:w="4900" w:type="pct"/>
          <w:tcBorders>
            <w:top w:val="nil"/>
            <w:left w:val="nil"/>
            <w:bottom w:val="nil"/>
            <w:right w:val="nil"/>
          </w:tcBorders>
          <w:shd w:val="clear" w:color="auto" w:fill="auto"/>
          <w:tcMar>
            <w:top w:w="0" w:type="dxa"/>
            <w:left w:w="0" w:type="dxa"/>
            <w:bottom w:w="0" w:type="dxa"/>
            <w:right w:w="0" w:type="dxa"/>
          </w:tcMar>
          <w:vAlign w:val="bottom"/>
        </w:tcPr>
        <w:p w14:paraId="4F9A2514" w14:textId="77777777" w:rsidR="00DA26A2" w:rsidRDefault="00DA26A2">
          <w:pPr>
            <w:rPr>
              <w:sz w:val="24"/>
              <w:szCs w:val="24"/>
            </w:rPr>
          </w:pPr>
        </w:p>
      </w:tc>
      <w:tc>
        <w:tcPr>
          <w:tcW w:w="100" w:type="pct"/>
          <w:tcBorders>
            <w:top w:val="nil"/>
            <w:left w:val="nil"/>
            <w:bottom w:val="nil"/>
            <w:right w:val="nil"/>
          </w:tcBorders>
          <w:shd w:val="clear" w:color="auto" w:fill="auto"/>
          <w:tcMar>
            <w:top w:w="0" w:type="dxa"/>
            <w:left w:w="0" w:type="dxa"/>
            <w:bottom w:w="0" w:type="dxa"/>
            <w:right w:w="0" w:type="dxa"/>
          </w:tcMar>
          <w:vAlign w:val="bottom"/>
        </w:tcPr>
        <w:p w14:paraId="678D47B4" w14:textId="77777777" w:rsidR="00DA26A2" w:rsidRDefault="00DA26A2">
          <w:pPr>
            <w:rPr>
              <w:sz w:val="24"/>
              <w:szCs w:val="24"/>
            </w:rPr>
          </w:pPr>
        </w:p>
      </w:tc>
    </w:tr>
  </w:tbl>
  <w:p w14:paraId="7BD16E92" w14:textId="77777777" w:rsidR="00DA26A2" w:rsidRDefault="00DA26A2">
    <w:pP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C3CD3A4" w14:textId="77777777" w:rsidR="0099518E" w:rsidRDefault="0099518E">
      <w:pPr>
        <w:spacing w:line="240" w:lineRule="auto"/>
      </w:pPr>
      <w:r>
        <w:separator/>
      </w:r>
    </w:p>
  </w:footnote>
  <w:footnote w:type="continuationSeparator" w:id="0">
    <w:p w14:paraId="714799C6" w14:textId="77777777" w:rsidR="0099518E" w:rsidRDefault="0099518E">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8192F4" w14:textId="77777777" w:rsidR="00DA26A2" w:rsidRDefault="00000000">
    <w:r>
      <w:fldChar w:fldCharType="begin"/>
    </w:r>
    <w:r>
      <w:instrText>PAGE \* ARABIC</w:instrText>
    </w:r>
    <w:r>
      <w:fldChar w:fldCharType="separate"/>
    </w:r>
    <w:r>
      <w:t>#</w:t>
    </w:r>
    <w:r>
      <w:fldChar w:fldCharType="end"/>
    </w:r>
    <w:r>
      <w:rPr>
        <w:noProof/>
      </w:rPr>
      <w:drawing>
        <wp:anchor distT="0" distB="0" distL="114300" distR="114300" simplePos="0" relativeHeight="251659264" behindDoc="0" locked="0" layoutInCell="0" allowOverlap="0" wp14:anchorId="2A2706FF" wp14:editId="36442FF1">
          <wp:simplePos x="0" y="0"/>
          <wp:positionH relativeFrom="page">
            <wp:posOffset>5831840</wp:posOffset>
          </wp:positionH>
          <wp:positionV relativeFrom="page">
            <wp:posOffset>539750</wp:posOffset>
          </wp:positionV>
          <wp:extent cx="1080135" cy="345440"/>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dpi="0">
                  <a:blip r:embed="rId1"/>
                  <a:srcRect/>
                  <a:stretch>
                    <a:fillRect/>
                  </a:stretch>
                </pic:blipFill>
                <pic:spPr>
                  <a:xfrm>
                    <a:off x="0" y="0"/>
                    <a:ext cx="1080135" cy="345440"/>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66D0DA" w14:textId="77777777" w:rsidR="00DA26A2" w:rsidRDefault="00000000">
    <w:pPr>
      <w:rPr>
        <w:color w:val="343434"/>
        <w:sz w:val="52"/>
        <w:szCs w:val="52"/>
      </w:rPr>
    </w:pPr>
    <w:r>
      <w:rPr>
        <w:noProof/>
        <w:color w:val="343434"/>
        <w:sz w:val="52"/>
        <w:szCs w:val="52"/>
      </w:rPr>
      <w:drawing>
        <wp:anchor distT="0" distB="0" distL="114300" distR="114300" simplePos="0" relativeHeight="251658240" behindDoc="0" locked="0" layoutInCell="0" allowOverlap="0" wp14:anchorId="70EFF914" wp14:editId="41336DE0">
          <wp:simplePos x="0" y="0"/>
          <wp:positionH relativeFrom="page">
            <wp:posOffset>5831840</wp:posOffset>
          </wp:positionH>
          <wp:positionV relativeFrom="page">
            <wp:posOffset>539750</wp:posOffset>
          </wp:positionV>
          <wp:extent cx="1080135" cy="345440"/>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dpi="0">
                  <a:blip r:embed="rId1"/>
                  <a:srcRect/>
                  <a:stretch>
                    <a:fillRect/>
                  </a:stretch>
                </pic:blipFill>
                <pic:spPr>
                  <a:xfrm>
                    <a:off x="0" y="0"/>
                    <a:ext cx="1080135" cy="345440"/>
                  </a:xfrm>
                  <a:prstGeom prst="rect">
                    <a:avLst/>
                  </a:prstGeom>
                </pic:spPr>
              </pic:pic>
            </a:graphicData>
          </a:graphic>
        </wp:anchor>
      </w:drawing>
    </w:r>
    <w:r>
      <w:rPr>
        <w:b/>
        <w:color w:val="343434"/>
        <w:sz w:val="52"/>
        <w:szCs w:val="52"/>
      </w:rPr>
      <w:t>Presseinformation</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5"/>
  <w:proofState w:spelling="clean" w:grammar="clean"/>
  <w:defaultTabStop w:val="720"/>
  <w:hyphenationZone w:val="425"/>
  <w:characterSpacingControl w:val="compressPunctuation"/>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26A2"/>
    <w:rsid w:val="00111904"/>
    <w:rsid w:val="00122B3B"/>
    <w:rsid w:val="00143F70"/>
    <w:rsid w:val="001B46DC"/>
    <w:rsid w:val="00205222"/>
    <w:rsid w:val="002E3F61"/>
    <w:rsid w:val="00342032"/>
    <w:rsid w:val="00453FA3"/>
    <w:rsid w:val="00585610"/>
    <w:rsid w:val="00585AC7"/>
    <w:rsid w:val="005F1199"/>
    <w:rsid w:val="0099518E"/>
    <w:rsid w:val="00B520AF"/>
    <w:rsid w:val="00B96153"/>
    <w:rsid w:val="00C86F75"/>
    <w:rsid w:val="00DA26A2"/>
    <w:rsid w:val="00DB60F2"/>
    <w:rsid w:val="00E904B1"/>
    <w:rsid w:val="00F43F31"/>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4:docId w14:val="598E1095"/>
  <w15:docId w15:val="{BB875C2F-FF2F-5A42-A3F2-3C5FF0F52F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Roboto" w:eastAsiaTheme="minorEastAsia" w:hAnsi="Roboto" w:cstheme="minorBidi"/>
        <w:color w:val="000000"/>
        <w:sz w:val="22"/>
        <w:szCs w:val="22"/>
        <w:lang w:val="de-DE" w:eastAsia="de-DE" w:bidi="ar-SA"/>
      </w:rPr>
    </w:rPrDefault>
    <w:pPrDefault>
      <w:pPr>
        <w:spacing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Zeilennummer">
    <w:name w:val="line number"/>
    <w:basedOn w:val="Absatz-Standardschriftart"/>
    <w:semiHidden/>
  </w:style>
  <w:style w:type="character" w:styleId="Hyperlink">
    <w:name w:val="Hyperlink"/>
    <w:rPr>
      <w:color w:val="0000FF"/>
      <w:u w:val="single"/>
    </w:rPr>
  </w:style>
  <w:style w:type="table" w:styleId="TabelleEinfach1">
    <w:name w:val="Table Simple 1"/>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pple-converted-space">
    <w:name w:val="apple-converted-space"/>
    <w:basedOn w:val="Absatz-Standardschriftart"/>
    <w:rsid w:val="00342032"/>
  </w:style>
  <w:style w:type="character" w:styleId="NichtaufgelsteErwhnung">
    <w:name w:val="Unresolved Mention"/>
    <w:basedOn w:val="Absatz-Standardschriftart"/>
    <w:uiPriority w:val="99"/>
    <w:semiHidden/>
    <w:unhideWhenUsed/>
    <w:rsid w:val="00B520A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g"/><Relationship Id="rId18" Type="http://schemas.openxmlformats.org/officeDocument/2006/relationships/footer" Target="footer1.xml"/><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2.jpg"/><Relationship Id="rId12" Type="http://schemas.openxmlformats.org/officeDocument/2006/relationships/image" Target="media/image7.jpg"/><Relationship Id="rId17" Type="http://schemas.openxmlformats.org/officeDocument/2006/relationships/header" Target="header1.xml"/><Relationship Id="rId2" Type="http://schemas.openxmlformats.org/officeDocument/2006/relationships/settings" Target="settings.xml"/><Relationship Id="rId16" Type="http://schemas.openxmlformats.org/officeDocument/2006/relationships/image" Target="media/image11.jpg"/><Relationship Id="rId20" Type="http://schemas.openxmlformats.org/officeDocument/2006/relationships/footer" Target="footer2.xm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6.jpg"/><Relationship Id="rId5" Type="http://schemas.openxmlformats.org/officeDocument/2006/relationships/endnotes" Target="endnotes.xml"/><Relationship Id="rId15" Type="http://schemas.openxmlformats.org/officeDocument/2006/relationships/image" Target="media/image10.jpg"/><Relationship Id="rId10" Type="http://schemas.openxmlformats.org/officeDocument/2006/relationships/image" Target="media/image5.jpg"/><Relationship Id="rId19" Type="http://schemas.openxmlformats.org/officeDocument/2006/relationships/header" Target="header2.xml"/><Relationship Id="rId4" Type="http://schemas.openxmlformats.org/officeDocument/2006/relationships/footnotes" Target="footnotes.xml"/><Relationship Id="rId9" Type="http://schemas.openxmlformats.org/officeDocument/2006/relationships/image" Target="media/image4.jpg"/><Relationship Id="rId14" Type="http://schemas.openxmlformats.org/officeDocument/2006/relationships/image" Target="media/image9.jp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2.jpg"/></Relationships>
</file>

<file path=word/_rels/header2.xml.rels><?xml version="1.0" encoding="UTF-8" standalone="yes"?>
<Relationships xmlns="http://schemas.openxmlformats.org/package/2006/relationships"><Relationship Id="rId1" Type="http://schemas.openxmlformats.org/officeDocument/2006/relationships/image" Target="media/image1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tileRect/>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tileRect/>
        </a:gradFill>
      </a:fillStyleLst>
      <a:lnStyleLst>
        <a:ln w="9525" cmpd="sng" algn="ctr">
          <a:solidFill>
            <a:schemeClr val="phClr">
              <a:shade val="95000"/>
              <a:satMod val="105000"/>
            </a:schemeClr>
          </a:solidFill>
          <a:prstDash val="solid"/>
        </a:ln>
        <a:ln w="25400" cmpd="sng" algn="ctr">
          <a:solidFill>
            <a:schemeClr val="phClr"/>
          </a:solidFill>
          <a:prstDash val="solid"/>
        </a:ln>
        <a:ln w="38100"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tileRect/>
        </a:gradFill>
        <a:gradFill rotWithShape="1">
          <a:gsLst>
            <a:gs pos="0">
              <a:schemeClr val="phClr">
                <a:tint val="80000"/>
                <a:satMod val="300000"/>
              </a:schemeClr>
            </a:gs>
            <a:gs pos="100000">
              <a:schemeClr val="phClr">
                <a:shade val="30000"/>
                <a:satMod val="200000"/>
              </a:schemeClr>
            </a:gs>
          </a:gsLst>
          <a:path path="circle">
            <a:fillToRect l="50000" t="50000" r="50000" b="50000"/>
          </a:path>
          <a:tileRect/>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9</Pages>
  <Words>1179</Words>
  <Characters>7428</Characters>
  <Application>Microsoft Office Word</Application>
  <DocSecurity>0</DocSecurity>
  <Lines>61</Lines>
  <Paragraphs>17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8590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Thomas Kopal</cp:lastModifiedBy>
  <cp:revision>2</cp:revision>
  <cp:lastPrinted>2024-08-14T14:54:00Z</cp:lastPrinted>
  <dcterms:created xsi:type="dcterms:W3CDTF">2024-09-04T10:16:00Z</dcterms:created>
  <dcterms:modified xsi:type="dcterms:W3CDTF">2024-09-04T10:16:00Z</dcterms:modified>
</cp:coreProperties>
</file>