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5538E" w14:textId="77777777" w:rsidR="00685A51" w:rsidRDefault="00000000">
      <w:pPr>
        <w:rPr>
          <w:rFonts w:eastAsia="Arial"/>
        </w:rPr>
      </w:pPr>
      <w:r>
        <w:rPr>
          <w:b/>
          <w:bCs/>
          <w:sz w:val="32"/>
          <w:szCs w:val="32"/>
        </w:rPr>
        <w:t>Schwarzwald-Magie im Retail</w:t>
      </w:r>
      <w:r>
        <w:rPr>
          <w:b/>
          <w:bCs/>
          <w:sz w:val="32"/>
          <w:szCs w:val="32"/>
        </w:rPr>
        <w:br/>
      </w:r>
      <w:r>
        <w:rPr>
          <w:rFonts w:eastAsia="Arial"/>
        </w:rPr>
        <w:t xml:space="preserve">Auf der </w:t>
      </w:r>
      <w:proofErr w:type="spellStart"/>
      <w:r>
        <w:rPr>
          <w:rFonts w:eastAsia="Arial"/>
        </w:rPr>
        <w:t>Euroshop</w:t>
      </w:r>
      <w:proofErr w:type="spellEnd"/>
      <w:r>
        <w:rPr>
          <w:rFonts w:eastAsia="Arial"/>
        </w:rPr>
        <w:t xml:space="preserve"> 2026 lädt Häfele in den “Black Forest Experience Shop“ </w:t>
      </w:r>
    </w:p>
    <w:p w14:paraId="2BFE26CD" w14:textId="395A098D" w:rsidR="00A8553A" w:rsidRPr="00685A51" w:rsidRDefault="00000000">
      <w:pPr>
        <w:rPr>
          <w:rFonts w:eastAsia="Arial"/>
        </w:rPr>
      </w:pPr>
      <w:r>
        <w:rPr>
          <w:rFonts w:eastAsia="Arial"/>
        </w:rPr>
        <w:t>in Halle 11, Stand F55-6, zu einem einzigartigen, emotionalen Retail-Erlebnis ein.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A8553A" w14:paraId="76AEA031" w14:textId="77777777">
        <w:trPr>
          <w:jc w:val="center"/>
        </w:trPr>
        <w:tc>
          <w:tcPr>
            <w:tcW w:w="5000" w:type="pct"/>
            <w:tcBorders>
              <w:top w:val="nil"/>
              <w:left w:val="nil"/>
              <w:bottom w:val="nil"/>
              <w:right w:val="nil"/>
            </w:tcBorders>
            <w:tcMar>
              <w:top w:w="0" w:type="dxa"/>
              <w:left w:w="0" w:type="dxa"/>
              <w:bottom w:w="0" w:type="dxa"/>
              <w:right w:w="227" w:type="dxa"/>
            </w:tcMar>
          </w:tcPr>
          <w:p w14:paraId="50235632" w14:textId="77777777" w:rsidR="00A8553A" w:rsidRDefault="00000000">
            <w:pPr>
              <w:rPr>
                <w:sz w:val="18"/>
                <w:szCs w:val="18"/>
              </w:rPr>
            </w:pPr>
            <w:r>
              <w:rPr>
                <w:noProof/>
                <w:sz w:val="18"/>
                <w:szCs w:val="18"/>
              </w:rPr>
              <w:drawing>
                <wp:inline distT="0" distB="0" distL="0" distR="0" wp14:anchorId="3185F3E8" wp14:editId="7AEADA07">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4446473" w14:textId="77777777" w:rsidR="00A8553A"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8553A" w14:paraId="483D59D9" w14:textId="77777777">
        <w:tc>
          <w:tcPr>
            <w:tcW w:w="3500" w:type="pct"/>
            <w:gridSpan w:val="2"/>
            <w:tcBorders>
              <w:top w:val="nil"/>
              <w:left w:val="nil"/>
              <w:bottom w:val="nil"/>
              <w:right w:val="nil"/>
            </w:tcBorders>
            <w:tcMar>
              <w:top w:w="0" w:type="dxa"/>
              <w:left w:w="0" w:type="dxa"/>
              <w:bottom w:w="0" w:type="dxa"/>
              <w:right w:w="227" w:type="dxa"/>
            </w:tcMar>
          </w:tcPr>
          <w:p w14:paraId="6ECE51F0" w14:textId="77777777" w:rsidR="00A8553A" w:rsidRDefault="00000000">
            <w:pPr>
              <w:spacing w:after="240"/>
              <w:rPr>
                <w:sz w:val="20"/>
                <w:szCs w:val="20"/>
              </w:rPr>
            </w:pPr>
            <w:r>
              <w:rPr>
                <w:i/>
                <w:sz w:val="20"/>
                <w:szCs w:val="20"/>
              </w:rPr>
              <w:t xml:space="preserve">Auf der </w:t>
            </w:r>
            <w:proofErr w:type="spellStart"/>
            <w:r>
              <w:rPr>
                <w:i/>
                <w:sz w:val="20"/>
                <w:szCs w:val="20"/>
              </w:rPr>
              <w:t>Euroshop</w:t>
            </w:r>
            <w:proofErr w:type="spellEnd"/>
            <w:r>
              <w:rPr>
                <w:i/>
                <w:sz w:val="20"/>
                <w:szCs w:val="20"/>
              </w:rPr>
              <w:t xml:space="preserve"> 2026 in Düsseldorf präsentiert sich Häfele auf dem </w:t>
            </w:r>
            <w:proofErr w:type="spellStart"/>
            <w:r>
              <w:rPr>
                <w:i/>
                <w:sz w:val="20"/>
                <w:szCs w:val="20"/>
              </w:rPr>
              <w:t>dLv</w:t>
            </w:r>
            <w:proofErr w:type="spellEnd"/>
            <w:r>
              <w:rPr>
                <w:i/>
                <w:sz w:val="20"/>
                <w:szCs w:val="20"/>
              </w:rPr>
              <w:t xml:space="preserve">-Gemeinschaftsstand in Halle 11, Stand F55-6 mit seinem „Black Forest Experience Shop“ – einem umfassenden </w:t>
            </w:r>
            <w:proofErr w:type="spellStart"/>
            <w:r>
              <w:rPr>
                <w:i/>
                <w:sz w:val="20"/>
                <w:szCs w:val="20"/>
              </w:rPr>
              <w:t>Shopkonzept</w:t>
            </w:r>
            <w:proofErr w:type="spellEnd"/>
            <w:r>
              <w:rPr>
                <w:i/>
                <w:sz w:val="20"/>
                <w:szCs w:val="20"/>
              </w:rPr>
              <w:t xml:space="preserve">, das Retail neu denkt. Ob leuchtender Blickfang im Schaufenster, smarte Technik auf der </w:t>
            </w:r>
            <w:proofErr w:type="spellStart"/>
            <w:r>
              <w:rPr>
                <w:i/>
                <w:sz w:val="20"/>
                <w:szCs w:val="20"/>
              </w:rPr>
              <w:t>Verkaufsﬂäche</w:t>
            </w:r>
            <w:proofErr w:type="spellEnd"/>
            <w:r>
              <w:rPr>
                <w:i/>
                <w:sz w:val="20"/>
                <w:szCs w:val="20"/>
              </w:rPr>
              <w:t xml:space="preserve"> oder gesicherter Zugang zu internen Bereichen – dahinter steht die herausragende Expertise von Häfele in der Entwicklung hochwertiger Beschlag-, Licht- und Schließsysteme sowie deren intelligente Vernetzung. Unter dem Leitmotiv „Den Wert von Raum maximieren. Gemeinsam“ wird Technik zum Erlebnis, Funktion zur Atmosphäre und Raum zum Ausdruck von Marke und Identität.</w:t>
            </w:r>
          </w:p>
          <w:p w14:paraId="7C2A4CEF" w14:textId="77777777" w:rsidR="00A8553A" w:rsidRDefault="00000000">
            <w:pPr>
              <w:spacing w:after="240"/>
              <w:rPr>
                <w:sz w:val="20"/>
                <w:szCs w:val="20"/>
              </w:rPr>
            </w:pPr>
            <w:r>
              <w:rPr>
                <w:b/>
                <w:sz w:val="20"/>
                <w:szCs w:val="20"/>
              </w:rPr>
              <w:t>Retail als Raumerlebnis</w:t>
            </w:r>
          </w:p>
          <w:p w14:paraId="7DD66AA0" w14:textId="77777777" w:rsidR="00A8553A" w:rsidRDefault="00000000">
            <w:pPr>
              <w:spacing w:after="240"/>
              <w:rPr>
                <w:sz w:val="20"/>
                <w:szCs w:val="20"/>
              </w:rPr>
            </w:pPr>
            <w:r>
              <w:rPr>
                <w:sz w:val="20"/>
                <w:szCs w:val="20"/>
              </w:rPr>
              <w:t xml:space="preserve">Häfele steht für intelligente Lösungen, die Markenwelten als emotionale Räume inszenieren. Mit dem Konzept „Black Forest Experience“ wird die Verbindung von Technik und Atmosphäre greifbar: Vernetzte Licht-, Beschlag- und Zutrittslösungen werden zu nahezu unsichtbaren Gestaltern des Gesamterlebnisses. Der neue Auftritt knüpft thematisch an die erfolgreiche Messepräsenz unter dem Dach des Deutschen Ladenbau-Verbands </w:t>
            </w:r>
            <w:proofErr w:type="spellStart"/>
            <w:r>
              <w:rPr>
                <w:sz w:val="20"/>
                <w:szCs w:val="20"/>
              </w:rPr>
              <w:t>dLv</w:t>
            </w:r>
            <w:proofErr w:type="spellEnd"/>
            <w:r>
              <w:rPr>
                <w:sz w:val="20"/>
                <w:szCs w:val="20"/>
              </w:rPr>
              <w:t xml:space="preserve"> der Jahre 2020 und 2023 an – mit noch größerem Fokus auf Inszenierung und Markenidentität.</w:t>
            </w:r>
          </w:p>
          <w:p w14:paraId="25C57B6E" w14:textId="77777777" w:rsidR="00A8553A" w:rsidRDefault="00000000">
            <w:pPr>
              <w:spacing w:after="240"/>
              <w:rPr>
                <w:sz w:val="20"/>
                <w:szCs w:val="20"/>
              </w:rPr>
            </w:pPr>
            <w:r>
              <w:rPr>
                <w:sz w:val="20"/>
                <w:szCs w:val="20"/>
              </w:rPr>
              <w:t xml:space="preserve">„Wir freuen uns sehr, zum dritten Mal mit dem Deutschen Ladenbau-Verband </w:t>
            </w:r>
            <w:proofErr w:type="spellStart"/>
            <w:r>
              <w:rPr>
                <w:sz w:val="20"/>
                <w:szCs w:val="20"/>
              </w:rPr>
              <w:t>dLv</w:t>
            </w:r>
            <w:proofErr w:type="spellEnd"/>
            <w:r>
              <w:rPr>
                <w:sz w:val="20"/>
                <w:szCs w:val="20"/>
              </w:rPr>
              <w:t xml:space="preserve"> auf der </w:t>
            </w:r>
            <w:proofErr w:type="spellStart"/>
            <w:r>
              <w:rPr>
                <w:sz w:val="20"/>
                <w:szCs w:val="20"/>
              </w:rPr>
              <w:t>Euroshop</w:t>
            </w:r>
            <w:proofErr w:type="spellEnd"/>
            <w:r>
              <w:rPr>
                <w:sz w:val="20"/>
                <w:szCs w:val="20"/>
              </w:rPr>
              <w:t xml:space="preserve"> auszustellen und den Dialog mit Kunden und Partnern unter dem Motto ‚Black Forest Experience‘ fortzuführen. Mit einem feinen Gespür für Zusammenhänge, Funktion und Atmosphäre </w:t>
            </w:r>
            <w:r>
              <w:rPr>
                <w:sz w:val="20"/>
                <w:szCs w:val="20"/>
              </w:rPr>
              <w:lastRenderedPageBreak/>
              <w:t>verwandelt Häfele erneut Räume in emotionale Markenerlebnisse“, so Julia Pross, International Key Account Manager Retail bei Häfele.  </w:t>
            </w:r>
          </w:p>
          <w:p w14:paraId="241CF5D1" w14:textId="77777777" w:rsidR="00A8553A" w:rsidRDefault="00000000">
            <w:pPr>
              <w:spacing w:after="240"/>
              <w:rPr>
                <w:sz w:val="20"/>
                <w:szCs w:val="20"/>
              </w:rPr>
            </w:pPr>
            <w:r>
              <w:rPr>
                <w:b/>
                <w:sz w:val="20"/>
                <w:szCs w:val="20"/>
              </w:rPr>
              <w:t>Flexible Raumkonzepte und nachhaltige Nutzungsszenarien</w:t>
            </w:r>
          </w:p>
          <w:p w14:paraId="060F1803" w14:textId="77777777" w:rsidR="00A8553A" w:rsidRDefault="00000000">
            <w:pPr>
              <w:spacing w:after="240"/>
              <w:rPr>
                <w:sz w:val="20"/>
                <w:szCs w:val="20"/>
              </w:rPr>
            </w:pPr>
            <w:r>
              <w:rPr>
                <w:sz w:val="20"/>
                <w:szCs w:val="20"/>
              </w:rPr>
              <w:t>Im „Black Forest Experience Shop“ zeigt Häfele, wie effiziente Lichtlösungen, robuste Beschlagtechnik und intelligente Schließsysteme zu flexiblen Raumkonzepten beitragen. Energieoptimierte Beleuchtung, modular austauschbare Komponenten und nachrüstbare Systeme reduzieren Umbau-Zeiten und machen Retail-Flächen schneller anpassbar.  Mit Beratung, Planungstools und Serviceleistungen unterstützt Häfele seine Partner dabei, Projekte ganzheitlich zu realisieren – von der Produktauswahl über die Installation bis zum Betrieb.</w:t>
            </w:r>
          </w:p>
          <w:p w14:paraId="0C18F0B4" w14:textId="77777777" w:rsidR="00A8553A" w:rsidRDefault="00000000">
            <w:pPr>
              <w:spacing w:after="240"/>
              <w:rPr>
                <w:sz w:val="20"/>
                <w:szCs w:val="20"/>
              </w:rPr>
            </w:pPr>
            <w:r>
              <w:rPr>
                <w:sz w:val="20"/>
                <w:szCs w:val="20"/>
              </w:rPr>
              <w:t>Unter dem Leitmotiv „</w:t>
            </w:r>
            <w:proofErr w:type="spellStart"/>
            <w:r>
              <w:rPr>
                <w:sz w:val="20"/>
                <w:szCs w:val="20"/>
              </w:rPr>
              <w:t>Maximising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value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space</w:t>
            </w:r>
            <w:proofErr w:type="spellEnd"/>
            <w:r>
              <w:rPr>
                <w:sz w:val="20"/>
                <w:szCs w:val="20"/>
              </w:rPr>
              <w:t xml:space="preserve">. </w:t>
            </w:r>
            <w:proofErr w:type="spellStart"/>
            <w:r>
              <w:rPr>
                <w:sz w:val="20"/>
                <w:szCs w:val="20"/>
              </w:rPr>
              <w:t>Together</w:t>
            </w:r>
            <w:proofErr w:type="spellEnd"/>
            <w:r>
              <w:rPr>
                <w:sz w:val="20"/>
                <w:szCs w:val="20"/>
              </w:rPr>
              <w:t>.“ bringt Häfele, Nachhaltigkeit und Wirtschaftlichkeit zusammen: energieeffiziente Produkte, ressourcenschonende Materialien und langlebige Systeme, die den gesamten Lebenszyklus berücksichtigen.</w:t>
            </w:r>
          </w:p>
          <w:p w14:paraId="33D6D30D" w14:textId="77777777" w:rsidR="00A8553A" w:rsidRDefault="00000000">
            <w:pPr>
              <w:spacing w:after="240"/>
              <w:rPr>
                <w:sz w:val="20"/>
                <w:szCs w:val="20"/>
              </w:rPr>
            </w:pPr>
            <w:r>
              <w:rPr>
                <w:b/>
                <w:sz w:val="20"/>
                <w:szCs w:val="20"/>
              </w:rPr>
              <w:t>Ganzheitliche Kompetenz im Ladenbau</w:t>
            </w:r>
          </w:p>
          <w:p w14:paraId="536B7343" w14:textId="77777777" w:rsidR="00A8553A" w:rsidRDefault="00000000">
            <w:pPr>
              <w:spacing w:after="240"/>
              <w:rPr>
                <w:sz w:val="20"/>
                <w:szCs w:val="20"/>
              </w:rPr>
            </w:pPr>
            <w:r>
              <w:rPr>
                <w:sz w:val="20"/>
                <w:szCs w:val="20"/>
              </w:rPr>
              <w:t xml:space="preserve">Bisher agiert Häfele vorwiegend im hochwertigen Retail-Segment, wie etwa beim </w:t>
            </w:r>
            <w:hyperlink r:id="rId7" w:tgtFrame="_blank">
              <w:r w:rsidR="00A8553A">
                <w:rPr>
                  <w:rStyle w:val="Hyperlink"/>
                  <w:color w:val="000000"/>
                  <w:sz w:val="20"/>
                  <w:szCs w:val="20"/>
                </w:rPr>
                <w:t>Juwelier Kerner</w:t>
              </w:r>
            </w:hyperlink>
            <w:r>
              <w:rPr>
                <w:sz w:val="20"/>
                <w:szCs w:val="20"/>
              </w:rPr>
              <w:t xml:space="preserve"> in Ulm, eine der jüngsten Referenzen des Unternehmens. Doch zunehmend werden die ganzheitlichen Lösungen von Häfele auch in anderen Segmenten wie Mode &amp; Sport oder Drogerie &amp; Kosmetik nachgefragt. „Weltweit suchen renommierte Unternehmen der Branche immer mehr unsere Partnerschaft, unter anderem, um kundenorientierte Lösungen gemeinsam zu optimieren“, so Julia Pross. Bei individuellen Projektanforderungen unterstützt Häfele seine lokalen Partner, insbesondere Architekten, Ladenbauer und Marken, entlang der gesamten Prozesskette vor Ort: durch eine professionelle Beratung und mit umfangreichen Service+ Leistungen, wie Lichtplanung, Schließplanerstellung oder Ausschreibungstexten. Julia Pross hebt hervor: „Auch nach Projektabschluss stehen wir unseren Partnern mit unserem After-Sales-Service im laufenden Betrieb zur Verfügung.“ </w:t>
            </w:r>
          </w:p>
          <w:p w14:paraId="5C31AD80" w14:textId="77777777" w:rsidR="00A8553A" w:rsidRDefault="00000000">
            <w:pPr>
              <w:spacing w:after="240"/>
              <w:rPr>
                <w:sz w:val="20"/>
                <w:szCs w:val="20"/>
              </w:rPr>
            </w:pPr>
            <w:r>
              <w:rPr>
                <w:b/>
                <w:sz w:val="20"/>
                <w:szCs w:val="20"/>
              </w:rPr>
              <w:t>Das Häfele Leistungsportfolio</w:t>
            </w:r>
          </w:p>
          <w:p w14:paraId="3160245B" w14:textId="6D782928" w:rsidR="00EF1D6F" w:rsidRDefault="00000000" w:rsidP="00EF1D6F">
            <w:pPr>
              <w:spacing w:after="240"/>
              <w:rPr>
                <w:sz w:val="20"/>
                <w:szCs w:val="20"/>
              </w:rPr>
            </w:pPr>
            <w:r>
              <w:rPr>
                <w:sz w:val="20"/>
                <w:szCs w:val="20"/>
              </w:rPr>
              <w:t xml:space="preserve">Zum Leistungsportfolio für alle Bereiche des Stores, ob für die Vitrine, Warenpräsentationen, Lounge oder im Back </w:t>
            </w:r>
            <w:proofErr w:type="spellStart"/>
            <w:r>
              <w:rPr>
                <w:sz w:val="20"/>
                <w:szCs w:val="20"/>
              </w:rPr>
              <w:t>of</w:t>
            </w:r>
            <w:proofErr w:type="spellEnd"/>
            <w:r>
              <w:rPr>
                <w:sz w:val="20"/>
                <w:szCs w:val="20"/>
              </w:rPr>
              <w:t xml:space="preserve"> House zählen:</w:t>
            </w:r>
            <w:r>
              <w:rPr>
                <w:sz w:val="20"/>
                <w:szCs w:val="20"/>
              </w:rPr>
              <w:br/>
            </w:r>
            <w:r>
              <w:rPr>
                <w:sz w:val="20"/>
                <w:szCs w:val="20"/>
              </w:rPr>
              <w:br/>
              <w:t xml:space="preserve">• Häfele </w:t>
            </w:r>
            <w:proofErr w:type="spellStart"/>
            <w:r>
              <w:rPr>
                <w:sz w:val="20"/>
                <w:szCs w:val="20"/>
              </w:rPr>
              <w:t>Lighting</w:t>
            </w:r>
            <w:proofErr w:type="spellEnd"/>
            <w:r>
              <w:rPr>
                <w:sz w:val="20"/>
                <w:szCs w:val="20"/>
              </w:rPr>
              <w:t>: Lichtplanung und Beleuchtungskonzepte – unter</w:t>
            </w:r>
            <w:r w:rsidR="00EF1D6F">
              <w:rPr>
                <w:sz w:val="20"/>
                <w:szCs w:val="20"/>
              </w:rPr>
              <w:t xml:space="preserve">                                                  </w:t>
            </w:r>
            <w:r>
              <w:rPr>
                <w:sz w:val="20"/>
                <w:szCs w:val="20"/>
              </w:rPr>
              <w:t xml:space="preserve"> </w:t>
            </w:r>
            <w:r w:rsidR="00EF1D6F">
              <w:rPr>
                <w:sz w:val="20"/>
                <w:szCs w:val="20"/>
              </w:rPr>
              <w:t xml:space="preserve">           </w:t>
            </w:r>
            <w:r>
              <w:rPr>
                <w:sz w:val="20"/>
                <w:szCs w:val="20"/>
              </w:rPr>
              <w:t>anderem für Markeninszenierungen im Shop</w:t>
            </w:r>
            <w:r>
              <w:rPr>
                <w:sz w:val="20"/>
                <w:szCs w:val="20"/>
              </w:rPr>
              <w:br/>
              <w:t xml:space="preserve">• </w:t>
            </w:r>
            <w:proofErr w:type="spellStart"/>
            <w:r>
              <w:rPr>
                <w:sz w:val="20"/>
                <w:szCs w:val="20"/>
              </w:rPr>
              <w:t>Dialock</w:t>
            </w:r>
            <w:proofErr w:type="spellEnd"/>
            <w:r>
              <w:rPr>
                <w:sz w:val="20"/>
                <w:szCs w:val="20"/>
              </w:rPr>
              <w:t xml:space="preserve">: Elektronisches Schließsystem, u.a. für Vitrinen, Türen </w:t>
            </w:r>
            <w:r w:rsidR="00EF1D6F">
              <w:rPr>
                <w:sz w:val="20"/>
                <w:szCs w:val="20"/>
              </w:rPr>
              <w:t>und</w:t>
            </w:r>
            <w:r w:rsidR="00385EC2">
              <w:rPr>
                <w:sz w:val="20"/>
                <w:szCs w:val="20"/>
              </w:rPr>
              <w:t xml:space="preserve">                                           </w:t>
            </w:r>
            <w:r>
              <w:rPr>
                <w:sz w:val="20"/>
                <w:szCs w:val="20"/>
              </w:rPr>
              <w:t>Mitarbeiterräume</w:t>
            </w:r>
            <w:r>
              <w:rPr>
                <w:sz w:val="20"/>
                <w:szCs w:val="20"/>
              </w:rPr>
              <w:br/>
              <w:t>• Innovative Beschlagtechnik für flexible, raumeffiziente Lösungen</w:t>
            </w:r>
            <w:r>
              <w:rPr>
                <w:sz w:val="20"/>
                <w:szCs w:val="20"/>
              </w:rPr>
              <w:br/>
              <w:t>• Service+ Leistungen wie Ausschreibungstexte, technische Beratung und After-Sales-Betreuung</w:t>
            </w:r>
            <w:r>
              <w:rPr>
                <w:sz w:val="20"/>
                <w:szCs w:val="20"/>
              </w:rPr>
              <w:br/>
              <w:t xml:space="preserve">• Digitale Vernetzung des elektronischen Schließsystems </w:t>
            </w:r>
            <w:proofErr w:type="spellStart"/>
            <w:r>
              <w:rPr>
                <w:sz w:val="20"/>
                <w:szCs w:val="20"/>
              </w:rPr>
              <w:t>Dialock</w:t>
            </w:r>
            <w:proofErr w:type="spellEnd"/>
            <w:r>
              <w:rPr>
                <w:sz w:val="20"/>
                <w:szCs w:val="20"/>
              </w:rPr>
              <w:t xml:space="preserve"> mit </w:t>
            </w:r>
            <w:r>
              <w:rPr>
                <w:sz w:val="20"/>
                <w:szCs w:val="20"/>
              </w:rPr>
              <w:lastRenderedPageBreak/>
              <w:t xml:space="preserve">Häfele </w:t>
            </w:r>
            <w:proofErr w:type="spellStart"/>
            <w:r>
              <w:rPr>
                <w:sz w:val="20"/>
                <w:szCs w:val="20"/>
              </w:rPr>
              <w:t>Lighting</w:t>
            </w:r>
            <w:proofErr w:type="spellEnd"/>
            <w:r>
              <w:rPr>
                <w:sz w:val="20"/>
                <w:szCs w:val="20"/>
              </w:rPr>
              <w:t>, Akustiklösungen, Möbelgriffen, Auszügen und konstruktiven Beschlägen.</w:t>
            </w:r>
          </w:p>
          <w:p w14:paraId="5C0DBC9A" w14:textId="77777777" w:rsidR="00A8553A" w:rsidRDefault="00000000">
            <w:pPr>
              <w:spacing w:after="240"/>
              <w:rPr>
                <w:sz w:val="20"/>
                <w:szCs w:val="20"/>
              </w:rPr>
            </w:pPr>
            <w:r>
              <w:rPr>
                <w:b/>
                <w:sz w:val="20"/>
                <w:szCs w:val="20"/>
              </w:rPr>
              <w:t>Informationen für das Fachpublikum</w:t>
            </w:r>
          </w:p>
          <w:p w14:paraId="160939CA" w14:textId="4889B8FB" w:rsidR="00A8553A" w:rsidRDefault="00000000">
            <w:pPr>
              <w:rPr>
                <w:sz w:val="20"/>
                <w:szCs w:val="20"/>
              </w:rPr>
            </w:pPr>
            <w:proofErr w:type="spellStart"/>
            <w:r>
              <w:rPr>
                <w:sz w:val="20"/>
                <w:szCs w:val="20"/>
              </w:rPr>
              <w:t>Euroshop</w:t>
            </w:r>
            <w:proofErr w:type="spellEnd"/>
            <w:r>
              <w:rPr>
                <w:sz w:val="20"/>
                <w:szCs w:val="20"/>
              </w:rPr>
              <w:t xml:space="preserve"> 2026</w:t>
            </w:r>
            <w:r>
              <w:rPr>
                <w:sz w:val="20"/>
                <w:szCs w:val="20"/>
              </w:rPr>
              <w:br/>
              <w:t>Halle 11, Stand F55-6</w:t>
            </w:r>
            <w:r w:rsidR="00EF1D6F">
              <w:rPr>
                <w:sz w:val="20"/>
                <w:szCs w:val="20"/>
              </w:rPr>
              <w:br/>
            </w:r>
            <w:r>
              <w:rPr>
                <w:sz w:val="20"/>
                <w:szCs w:val="20"/>
              </w:rPr>
              <w:t>(</w:t>
            </w:r>
            <w:proofErr w:type="spellStart"/>
            <w:r>
              <w:rPr>
                <w:sz w:val="20"/>
                <w:szCs w:val="20"/>
              </w:rPr>
              <w:t>dLv</w:t>
            </w:r>
            <w:proofErr w:type="spellEnd"/>
            <w:r>
              <w:rPr>
                <w:sz w:val="20"/>
                <w:szCs w:val="20"/>
              </w:rPr>
              <w:t>-Gemeinschaftsstand (Deutscher Ladenbau Verband) </w:t>
            </w:r>
            <w:r>
              <w:rPr>
                <w:sz w:val="20"/>
                <w:szCs w:val="20"/>
              </w:rPr>
              <w:br/>
              <w:t>Standfläche: 35 m²</w:t>
            </w:r>
            <w:r>
              <w:rPr>
                <w:sz w:val="20"/>
                <w:szCs w:val="20"/>
              </w:rPr>
              <w:br/>
              <w:t>https://www.haefele.de/de/</w:t>
            </w:r>
            <w:r>
              <w:rPr>
                <w:sz w:val="20"/>
                <w:szCs w:val="20"/>
              </w:rPr>
              <w:br/>
            </w:r>
            <w:r>
              <w:rPr>
                <w:sz w:val="20"/>
                <w:szCs w:val="20"/>
              </w:rPr>
              <w:br/>
              <w:t xml:space="preserve">Link zum neuen Katalog </w:t>
            </w:r>
            <w:hyperlink r:id="rId8" w:tgtFrame="_blank">
              <w:r w:rsidR="00A8553A">
                <w:rPr>
                  <w:rStyle w:val="Hyperlink"/>
                  <w:color w:val="000000"/>
                  <w:sz w:val="20"/>
                  <w:szCs w:val="20"/>
                </w:rPr>
                <w:t xml:space="preserve">Häfele </w:t>
              </w:r>
              <w:proofErr w:type="spellStart"/>
              <w:r w:rsidR="00A8553A">
                <w:rPr>
                  <w:rStyle w:val="Hyperlink"/>
                  <w:color w:val="000000"/>
                  <w:sz w:val="20"/>
                  <w:szCs w:val="20"/>
                </w:rPr>
                <w:t>Light</w:t>
              </w:r>
              <w:r w:rsidR="00A8553A">
                <w:rPr>
                  <w:rStyle w:val="Hyperlink"/>
                  <w:color w:val="000000"/>
                  <w:sz w:val="20"/>
                  <w:szCs w:val="20"/>
                </w:rPr>
                <w:t>i</w:t>
              </w:r>
              <w:r w:rsidR="00A8553A">
                <w:rPr>
                  <w:rStyle w:val="Hyperlink"/>
                  <w:color w:val="000000"/>
                  <w:sz w:val="20"/>
                  <w:szCs w:val="20"/>
                </w:rPr>
                <w:t>ng</w:t>
              </w:r>
              <w:proofErr w:type="spellEnd"/>
            </w:hyperlink>
            <w:r>
              <w:rPr>
                <w:sz w:val="20"/>
                <w:szCs w:val="20"/>
              </w:rPr>
              <w:br/>
            </w:r>
            <w:r>
              <w:rPr>
                <w:sz w:val="20"/>
                <w:szCs w:val="20"/>
              </w:rPr>
              <w:br/>
              <w:t>Nagold, im Dezember 2025</w:t>
            </w:r>
            <w:r>
              <w:rPr>
                <w:sz w:val="20"/>
                <w:szCs w:val="20"/>
              </w:rPr>
              <w:br/>
              <w:t>Abdruck honorarfrei, Beleg erbeten</w:t>
            </w:r>
          </w:p>
        </w:tc>
        <w:tc>
          <w:tcPr>
            <w:tcW w:w="1500" w:type="pct"/>
            <w:tcBorders>
              <w:top w:val="nil"/>
              <w:left w:val="nil"/>
              <w:bottom w:val="nil"/>
              <w:right w:val="nil"/>
            </w:tcBorders>
            <w:tcMar>
              <w:top w:w="0" w:type="dxa"/>
              <w:left w:w="0" w:type="dxa"/>
              <w:bottom w:w="0" w:type="dxa"/>
              <w:right w:w="227" w:type="dxa"/>
            </w:tcMar>
          </w:tcPr>
          <w:p w14:paraId="7AFAA5B0" w14:textId="77777777" w:rsidR="00A8553A" w:rsidRDefault="00000000">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w:t>
            </w:r>
            <w:proofErr w:type="spellStart"/>
            <w:r>
              <w:rPr>
                <w:sz w:val="20"/>
                <w:szCs w:val="20"/>
              </w:rPr>
              <w:t>kopal</w:t>
            </w:r>
            <w:proofErr w:type="spellEnd"/>
            <w:r>
              <w:rPr>
                <w:sz w:val="20"/>
                <w:szCs w:val="20"/>
              </w:rPr>
              <w:t xml:space="preserve"> GbR, Büro für Kommunikation</w:t>
            </w:r>
            <w:r>
              <w:rPr>
                <w:sz w:val="20"/>
                <w:szCs w:val="20"/>
              </w:rPr>
              <w:br/>
              <w:t>T + 49 (0) 711 74 51 759-16</w:t>
            </w:r>
            <w:r>
              <w:rPr>
                <w:sz w:val="20"/>
                <w:szCs w:val="20"/>
              </w:rPr>
              <w:br/>
              <w:t>rainer.haeupl@bering-kopal.de</w:t>
            </w:r>
            <w:r>
              <w:rPr>
                <w:sz w:val="20"/>
                <w:szCs w:val="20"/>
              </w:rPr>
              <w:br/>
              <w:t>www.bering-kopal.de</w:t>
            </w:r>
          </w:p>
          <w:p w14:paraId="7CB350B0" w14:textId="77777777" w:rsidR="00A8553A" w:rsidRDefault="00000000">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62B649B" w14:textId="77777777" w:rsidR="00A8553A" w:rsidRDefault="00000000">
            <w:pPr>
              <w:spacing w:after="240"/>
              <w:rPr>
                <w:sz w:val="20"/>
                <w:szCs w:val="20"/>
              </w:rPr>
            </w:pPr>
            <w:r>
              <w:rPr>
                <w:sz w:val="20"/>
                <w:szCs w:val="20"/>
              </w:rPr>
              <w:t> </w:t>
            </w:r>
          </w:p>
          <w:p w14:paraId="49BF3ABE" w14:textId="77777777" w:rsidR="00A8553A" w:rsidRDefault="00000000">
            <w:pPr>
              <w:rPr>
                <w:sz w:val="20"/>
                <w:szCs w:val="20"/>
              </w:rPr>
            </w:pPr>
            <w:r>
              <w:rPr>
                <w:sz w:val="20"/>
                <w:szCs w:val="20"/>
              </w:rPr>
              <w:t> </w:t>
            </w:r>
          </w:p>
        </w:tc>
      </w:tr>
      <w:tr w:rsidR="00A8553A" w14:paraId="4F81CE42"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74ACB6F7" w14:textId="77777777" w:rsidR="00A8553A" w:rsidRDefault="00A8553A">
            <w:pPr>
              <w:rPr>
                <w:sz w:val="20"/>
                <w:szCs w:val="20"/>
              </w:rPr>
            </w:pPr>
          </w:p>
        </w:tc>
        <w:tc>
          <w:tcPr>
            <w:tcW w:w="2520" w:type="dxa"/>
            <w:tcBorders>
              <w:top w:val="nil"/>
              <w:left w:val="nil"/>
              <w:bottom w:val="nil"/>
              <w:right w:val="nil"/>
            </w:tcBorders>
            <w:tcMar>
              <w:top w:w="0" w:type="dxa"/>
              <w:left w:w="0" w:type="dxa"/>
              <w:bottom w:w="0" w:type="dxa"/>
              <w:right w:w="227" w:type="dxa"/>
            </w:tcMar>
          </w:tcPr>
          <w:p w14:paraId="20F41978" w14:textId="77777777" w:rsidR="00A8553A" w:rsidRDefault="00A8553A">
            <w:pPr>
              <w:rPr>
                <w:sz w:val="20"/>
                <w:szCs w:val="20"/>
              </w:rPr>
            </w:pPr>
          </w:p>
        </w:tc>
      </w:tr>
    </w:tbl>
    <w:p w14:paraId="41D2A69F" w14:textId="77777777" w:rsidR="00A8553A" w:rsidRDefault="00000000">
      <w:r>
        <w:br w:type="page"/>
      </w:r>
    </w:p>
    <w:p w14:paraId="795E463B" w14:textId="77777777" w:rsidR="00EF1D6F" w:rsidRDefault="00000000">
      <w:pPr>
        <w:spacing w:line="240" w:lineRule="auto"/>
        <w:rPr>
          <w:sz w:val="17"/>
          <w:szCs w:val="17"/>
        </w:rPr>
      </w:pPr>
      <w:r>
        <w:rPr>
          <w:b/>
          <w:sz w:val="17"/>
          <w:szCs w:val="17"/>
        </w:rPr>
        <w:lastRenderedPageBreak/>
        <w:t>1</w:t>
      </w:r>
      <w:r>
        <w:rPr>
          <w:sz w:val="17"/>
          <w:szCs w:val="17"/>
        </w:rPr>
        <w:t xml:space="preserve"> Mit emotionalen Retail-Inszenierungen, die den Schwarzwald feinsinnig interpretieren, begeistert Häfele immer wieder neu. </w:t>
      </w:r>
    </w:p>
    <w:p w14:paraId="494F0A23" w14:textId="505F76D2" w:rsidR="00A8553A" w:rsidRDefault="00000000">
      <w:pPr>
        <w:spacing w:line="240" w:lineRule="auto"/>
        <w:rPr>
          <w:sz w:val="17"/>
          <w:szCs w:val="17"/>
        </w:rPr>
      </w:pPr>
      <w:r>
        <w:rPr>
          <w:sz w:val="17"/>
          <w:szCs w:val="17"/>
        </w:rPr>
        <w:t xml:space="preserve">Auf der </w:t>
      </w:r>
      <w:proofErr w:type="spellStart"/>
      <w:r>
        <w:rPr>
          <w:sz w:val="17"/>
          <w:szCs w:val="17"/>
        </w:rPr>
        <w:t>Euroshop</w:t>
      </w:r>
      <w:proofErr w:type="spellEnd"/>
      <w:r>
        <w:rPr>
          <w:sz w:val="17"/>
          <w:szCs w:val="17"/>
        </w:rPr>
        <w:t xml:space="preserve"> 2026 lädt das Unternehmen in den „Black Forest Experience Shop“ ein. Foto: Häfele</w:t>
      </w:r>
      <w:r>
        <w:rPr>
          <w:sz w:val="17"/>
          <w:szCs w:val="17"/>
        </w:rPr>
        <w:br/>
      </w:r>
    </w:p>
    <w:p w14:paraId="7844BB86" w14:textId="77777777" w:rsidR="00A8553A" w:rsidRDefault="00000000">
      <w:pPr>
        <w:spacing w:line="240" w:lineRule="auto"/>
        <w:rPr>
          <w:sz w:val="17"/>
          <w:szCs w:val="17"/>
        </w:rPr>
      </w:pPr>
      <w:r>
        <w:rPr>
          <w:b/>
          <w:sz w:val="17"/>
          <w:szCs w:val="17"/>
        </w:rPr>
        <w:t>2</w:t>
      </w:r>
      <w:r>
        <w:rPr>
          <w:sz w:val="17"/>
          <w:szCs w:val="17"/>
        </w:rPr>
        <w:t xml:space="preserve"> Präsentationsflächen, Vitrinen und Schaufenster werden durch die Lichtinszenierung zu dynamischen Elementen, die das Einkaufserlebnis mit einer fein einstellbaren, individuell gestaltbaren Lichtatmosphäre begleiten und verstärken. Foto: Häfele</w:t>
      </w:r>
      <w:r>
        <w:rPr>
          <w:sz w:val="17"/>
          <w:szCs w:val="17"/>
        </w:rPr>
        <w:br/>
      </w:r>
    </w:p>
    <w:p w14:paraId="7FDB0993" w14:textId="30B92D83" w:rsidR="00A8553A" w:rsidRDefault="00000000">
      <w:pPr>
        <w:spacing w:line="240" w:lineRule="auto"/>
        <w:rPr>
          <w:sz w:val="17"/>
          <w:szCs w:val="17"/>
        </w:rPr>
      </w:pPr>
      <w:r>
        <w:rPr>
          <w:b/>
          <w:sz w:val="17"/>
          <w:szCs w:val="17"/>
        </w:rPr>
        <w:t>3</w:t>
      </w:r>
      <w:r>
        <w:rPr>
          <w:sz w:val="17"/>
          <w:szCs w:val="17"/>
        </w:rPr>
        <w:t xml:space="preserve"> Die Vitrine wird zur Bühne – </w:t>
      </w:r>
      <w:proofErr w:type="spellStart"/>
      <w:r>
        <w:rPr>
          <w:sz w:val="17"/>
          <w:szCs w:val="17"/>
        </w:rPr>
        <w:t>Vitrinenlicht</w:t>
      </w:r>
      <w:proofErr w:type="spellEnd"/>
      <w:r>
        <w:rPr>
          <w:sz w:val="17"/>
          <w:szCs w:val="17"/>
        </w:rPr>
        <w:t xml:space="preserve"> und Raumlicht lassen sich über eine einheitliche Steuerung komfortabel und perfekt kombinieren. Foto: Häfele</w:t>
      </w:r>
      <w:r>
        <w:rPr>
          <w:sz w:val="17"/>
          <w:szCs w:val="17"/>
        </w:rPr>
        <w:br/>
        <w:t> </w:t>
      </w:r>
    </w:p>
    <w:p w14:paraId="110B3D06" w14:textId="59D57862" w:rsidR="00A8553A" w:rsidRDefault="00000000">
      <w:pPr>
        <w:spacing w:line="240" w:lineRule="auto"/>
        <w:rPr>
          <w:sz w:val="17"/>
          <w:szCs w:val="17"/>
        </w:rPr>
      </w:pPr>
      <w:r>
        <w:rPr>
          <w:b/>
          <w:sz w:val="17"/>
          <w:szCs w:val="17"/>
        </w:rPr>
        <w:t>4</w:t>
      </w:r>
      <w:r>
        <w:rPr>
          <w:sz w:val="17"/>
          <w:szCs w:val="17"/>
        </w:rPr>
        <w:t xml:space="preserve"> </w:t>
      </w:r>
      <w:proofErr w:type="spellStart"/>
      <w:r>
        <w:rPr>
          <w:sz w:val="17"/>
          <w:szCs w:val="17"/>
        </w:rPr>
        <w:t>Dialock</w:t>
      </w:r>
      <w:proofErr w:type="spellEnd"/>
      <w:r>
        <w:rPr>
          <w:sz w:val="17"/>
          <w:szCs w:val="17"/>
        </w:rPr>
        <w:t xml:space="preserve"> Watch ist ein neues, aktuell zum Patent angemeldetes Warensicherungssystem mit Push-</w:t>
      </w:r>
      <w:proofErr w:type="spellStart"/>
      <w:r>
        <w:rPr>
          <w:sz w:val="17"/>
          <w:szCs w:val="17"/>
        </w:rPr>
        <w:t>to</w:t>
      </w:r>
      <w:proofErr w:type="spellEnd"/>
      <w:r>
        <w:rPr>
          <w:sz w:val="17"/>
          <w:szCs w:val="17"/>
        </w:rPr>
        <w:t>-Open Auslöse</w:t>
      </w:r>
      <w:r w:rsidR="00EF1D6F">
        <w:rPr>
          <w:sz w:val="17"/>
          <w:szCs w:val="17"/>
        </w:rPr>
        <w:t>-</w:t>
      </w:r>
      <w:r>
        <w:rPr>
          <w:sz w:val="17"/>
          <w:szCs w:val="17"/>
        </w:rPr>
        <w:t>mechanismus für Uhren und Armbänder. Es ermöglicht eine offene und frei zugängliche Produktpräsentation und sorgt für eine einfache Anprobe und Kaufentscheidung.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8553A" w14:paraId="1FE34970" w14:textId="77777777">
        <w:tc>
          <w:tcPr>
            <w:tcW w:w="2444" w:type="pct"/>
            <w:tcBorders>
              <w:top w:val="nil"/>
              <w:left w:val="nil"/>
              <w:bottom w:val="nil"/>
              <w:right w:val="nil"/>
            </w:tcBorders>
            <w:tcMar>
              <w:top w:w="0" w:type="dxa"/>
              <w:left w:w="0" w:type="dxa"/>
              <w:bottom w:w="0" w:type="dxa"/>
              <w:right w:w="0" w:type="dxa"/>
            </w:tcMar>
          </w:tcPr>
          <w:p w14:paraId="7730C2F4" w14:textId="77777777" w:rsidR="00A8553A"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24B3F830"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2745127F" w14:textId="77777777" w:rsidR="00A8553A" w:rsidRDefault="00000000">
            <w:pPr>
              <w:keepNext/>
              <w:keepLines/>
              <w:spacing w:line="240" w:lineRule="auto"/>
              <w:rPr>
                <w:sz w:val="14"/>
                <w:szCs w:val="14"/>
              </w:rPr>
            </w:pPr>
            <w:r>
              <w:rPr>
                <w:sz w:val="14"/>
                <w:szCs w:val="14"/>
              </w:rPr>
              <w:t>2.</w:t>
            </w:r>
          </w:p>
        </w:tc>
      </w:tr>
      <w:tr w:rsidR="00A8553A" w14:paraId="260D36B2"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D85031C" w14:textId="77777777" w:rsidR="00A8553A" w:rsidRDefault="00000000">
            <w:pPr>
              <w:keepNext/>
              <w:keepLines/>
              <w:spacing w:line="240" w:lineRule="auto"/>
              <w:rPr>
                <w:sz w:val="14"/>
                <w:szCs w:val="14"/>
              </w:rPr>
            </w:pPr>
            <w:r>
              <w:rPr>
                <w:noProof/>
                <w:sz w:val="14"/>
                <w:szCs w:val="14"/>
              </w:rPr>
              <w:drawing>
                <wp:inline distT="0" distB="0" distL="0" distR="0" wp14:anchorId="1EBB3B13" wp14:editId="0FD61D8C">
                  <wp:extent cx="3023235" cy="201168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9"/>
                          <a:srcRect/>
                          <a:stretch>
                            <a:fillRect/>
                          </a:stretch>
                        </pic:blipFill>
                        <pic:spPr>
                          <a:xfrm>
                            <a:off x="0" y="0"/>
                            <a:ext cx="3023235" cy="201168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2D53692" w14:textId="77777777" w:rsidR="00A8553A" w:rsidRDefault="00A8553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89B3A01" w14:textId="77777777" w:rsidR="00A8553A" w:rsidRDefault="00000000">
            <w:pPr>
              <w:keepNext/>
              <w:keepLines/>
              <w:spacing w:line="240" w:lineRule="auto"/>
              <w:rPr>
                <w:sz w:val="14"/>
                <w:szCs w:val="14"/>
              </w:rPr>
            </w:pPr>
            <w:r>
              <w:rPr>
                <w:noProof/>
                <w:sz w:val="14"/>
                <w:szCs w:val="14"/>
              </w:rPr>
              <w:drawing>
                <wp:inline distT="0" distB="0" distL="0" distR="0" wp14:anchorId="24384EF1" wp14:editId="1F39272E">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10"/>
                          <a:srcRect/>
                          <a:stretch>
                            <a:fillRect/>
                          </a:stretch>
                        </pic:blipFill>
                        <pic:spPr>
                          <a:xfrm>
                            <a:off x="0" y="0"/>
                            <a:ext cx="1343660" cy="2014220"/>
                          </a:xfrm>
                          <a:prstGeom prst="rect">
                            <a:avLst/>
                          </a:prstGeom>
                        </pic:spPr>
                      </pic:pic>
                    </a:graphicData>
                  </a:graphic>
                </wp:inline>
              </w:drawing>
            </w:r>
          </w:p>
        </w:tc>
      </w:tr>
      <w:tr w:rsidR="00A8553A" w14:paraId="4FCCCBDA" w14:textId="77777777">
        <w:tc>
          <w:tcPr>
            <w:tcW w:w="2444" w:type="pct"/>
            <w:tcBorders>
              <w:top w:val="nil"/>
              <w:left w:val="nil"/>
              <w:bottom w:val="nil"/>
              <w:right w:val="nil"/>
            </w:tcBorders>
            <w:tcMar>
              <w:top w:w="0" w:type="dxa"/>
              <w:left w:w="0" w:type="dxa"/>
              <w:bottom w:w="0" w:type="dxa"/>
              <w:right w:w="0" w:type="dxa"/>
            </w:tcMar>
          </w:tcPr>
          <w:p w14:paraId="63F80794" w14:textId="77777777" w:rsidR="00A8553A" w:rsidRDefault="00A8553A">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3D47AC75"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01AFC95E" w14:textId="77777777" w:rsidR="00A8553A" w:rsidRDefault="00A8553A">
            <w:pPr>
              <w:keepNext/>
              <w:keepLines/>
              <w:spacing w:line="240" w:lineRule="auto"/>
              <w:rPr>
                <w:sz w:val="14"/>
                <w:szCs w:val="14"/>
              </w:rPr>
            </w:pPr>
          </w:p>
        </w:tc>
      </w:tr>
      <w:tr w:rsidR="00A8553A" w14:paraId="1AE01AFA" w14:textId="77777777">
        <w:tc>
          <w:tcPr>
            <w:tcW w:w="2444" w:type="pct"/>
            <w:tcBorders>
              <w:top w:val="nil"/>
              <w:left w:val="nil"/>
              <w:bottom w:val="nil"/>
              <w:right w:val="nil"/>
            </w:tcBorders>
            <w:tcMar>
              <w:top w:w="0" w:type="dxa"/>
              <w:left w:w="0" w:type="dxa"/>
              <w:bottom w:w="0" w:type="dxa"/>
              <w:right w:w="0" w:type="dxa"/>
            </w:tcMar>
          </w:tcPr>
          <w:p w14:paraId="7EB54695" w14:textId="77777777" w:rsidR="00A8553A"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0B61B18D"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DE52598" w14:textId="77777777" w:rsidR="00A8553A" w:rsidRDefault="00000000">
            <w:pPr>
              <w:keepNext/>
              <w:keepLines/>
              <w:spacing w:line="240" w:lineRule="auto"/>
              <w:rPr>
                <w:sz w:val="14"/>
                <w:szCs w:val="14"/>
              </w:rPr>
            </w:pPr>
            <w:r>
              <w:rPr>
                <w:sz w:val="14"/>
                <w:szCs w:val="14"/>
              </w:rPr>
              <w:t>4.</w:t>
            </w:r>
          </w:p>
        </w:tc>
      </w:tr>
      <w:tr w:rsidR="00A8553A" w14:paraId="7EAB32D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277ABBC" w14:textId="77777777" w:rsidR="00A8553A" w:rsidRDefault="00000000">
            <w:pPr>
              <w:keepNext/>
              <w:keepLines/>
              <w:spacing w:line="240" w:lineRule="auto"/>
              <w:rPr>
                <w:sz w:val="14"/>
                <w:szCs w:val="14"/>
              </w:rPr>
            </w:pPr>
            <w:r>
              <w:rPr>
                <w:noProof/>
                <w:sz w:val="14"/>
                <w:szCs w:val="14"/>
              </w:rPr>
              <w:drawing>
                <wp:inline distT="0" distB="0" distL="0" distR="0" wp14:anchorId="6EA0C8F4" wp14:editId="294A3027">
                  <wp:extent cx="247459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1"/>
                          <a:srcRect/>
                          <a:stretch>
                            <a:fillRect/>
                          </a:stretch>
                        </pic:blipFill>
                        <pic:spPr>
                          <a:xfrm>
                            <a:off x="0" y="0"/>
                            <a:ext cx="247459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40406A3" w14:textId="77777777" w:rsidR="00A8553A" w:rsidRDefault="00A8553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97F9607" w14:textId="77777777" w:rsidR="00A8553A" w:rsidRDefault="00000000">
            <w:pPr>
              <w:keepNext/>
              <w:keepLines/>
              <w:spacing w:line="240" w:lineRule="auto"/>
              <w:rPr>
                <w:sz w:val="14"/>
                <w:szCs w:val="14"/>
              </w:rPr>
            </w:pPr>
            <w:r>
              <w:rPr>
                <w:noProof/>
                <w:sz w:val="14"/>
                <w:szCs w:val="14"/>
              </w:rPr>
              <w:drawing>
                <wp:inline distT="0" distB="0" distL="0" distR="0" wp14:anchorId="1E261738" wp14:editId="36558B06">
                  <wp:extent cx="3023235" cy="20116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2"/>
                          <a:srcRect/>
                          <a:stretch>
                            <a:fillRect/>
                          </a:stretch>
                        </pic:blipFill>
                        <pic:spPr>
                          <a:xfrm>
                            <a:off x="0" y="0"/>
                            <a:ext cx="3023235" cy="2011680"/>
                          </a:xfrm>
                          <a:prstGeom prst="rect">
                            <a:avLst/>
                          </a:prstGeom>
                        </pic:spPr>
                      </pic:pic>
                    </a:graphicData>
                  </a:graphic>
                </wp:inline>
              </w:drawing>
            </w:r>
          </w:p>
        </w:tc>
      </w:tr>
    </w:tbl>
    <w:p w14:paraId="08CACAC3" w14:textId="77777777" w:rsidR="00A8553A" w:rsidRDefault="00000000">
      <w:pPr>
        <w:spacing w:line="240" w:lineRule="auto"/>
      </w:pPr>
      <w:r>
        <w:br w:type="page"/>
      </w:r>
    </w:p>
    <w:p w14:paraId="66D14E2A" w14:textId="77777777" w:rsidR="00A8553A" w:rsidRDefault="00000000">
      <w:pPr>
        <w:spacing w:line="240" w:lineRule="auto"/>
        <w:rPr>
          <w:sz w:val="17"/>
          <w:szCs w:val="17"/>
        </w:rPr>
      </w:pPr>
      <w:r>
        <w:rPr>
          <w:b/>
          <w:sz w:val="17"/>
          <w:szCs w:val="17"/>
        </w:rPr>
        <w:lastRenderedPageBreak/>
        <w:t>5</w:t>
      </w:r>
      <w:r>
        <w:rPr>
          <w:sz w:val="17"/>
          <w:szCs w:val="17"/>
        </w:rPr>
        <w:t xml:space="preserve"> Höchste Sicherheit und Komfort mit einem Schlüssel für alles: Das Dialock-System schützt die Vitrinen ebenso zuverlässig wie die Mitarbeiterräume. Über die My-Dialock-Manager-App lassen sich alle Schlösser zentral verwalten und Zugänge individuell freigeben. Foto: Häfele</w:t>
      </w:r>
      <w:r>
        <w:rPr>
          <w:sz w:val="17"/>
          <w:szCs w:val="17"/>
        </w:rPr>
        <w:br/>
      </w:r>
    </w:p>
    <w:p w14:paraId="06B08B5C" w14:textId="77777777" w:rsidR="00A8553A" w:rsidRDefault="00000000">
      <w:pPr>
        <w:spacing w:line="240" w:lineRule="auto"/>
        <w:rPr>
          <w:sz w:val="17"/>
          <w:szCs w:val="17"/>
        </w:rPr>
      </w:pPr>
      <w:r>
        <w:rPr>
          <w:b/>
          <w:sz w:val="17"/>
          <w:szCs w:val="17"/>
        </w:rPr>
        <w:t>6</w:t>
      </w:r>
      <w:r>
        <w:rPr>
          <w:sz w:val="17"/>
          <w:szCs w:val="17"/>
        </w:rPr>
        <w:t xml:space="preserve"> Klassische </w:t>
      </w:r>
      <w:proofErr w:type="spellStart"/>
      <w:r>
        <w:rPr>
          <w:sz w:val="17"/>
          <w:szCs w:val="17"/>
        </w:rPr>
        <w:t>Verbindertechnologie</w:t>
      </w:r>
      <w:proofErr w:type="spellEnd"/>
      <w:r>
        <w:rPr>
          <w:sz w:val="17"/>
          <w:szCs w:val="17"/>
        </w:rPr>
        <w:t xml:space="preserve"> von Häfele aus dem Schwarzwald – mit einem Augenzwinkern als variantenreiches Schmuckstück inszeniert. Foto: Häfele</w:t>
      </w:r>
      <w:r>
        <w:rPr>
          <w:sz w:val="17"/>
          <w:szCs w:val="17"/>
        </w:rPr>
        <w:br/>
      </w:r>
    </w:p>
    <w:p w14:paraId="3DDF03B1" w14:textId="77777777" w:rsidR="00A8553A" w:rsidRDefault="00000000">
      <w:pPr>
        <w:spacing w:line="240" w:lineRule="auto"/>
        <w:rPr>
          <w:sz w:val="17"/>
          <w:szCs w:val="17"/>
        </w:rPr>
      </w:pPr>
      <w:r>
        <w:rPr>
          <w:b/>
          <w:sz w:val="17"/>
          <w:szCs w:val="17"/>
        </w:rPr>
        <w:t>7</w:t>
      </w:r>
      <w:r>
        <w:rPr>
          <w:sz w:val="17"/>
          <w:szCs w:val="17"/>
        </w:rPr>
        <w:t xml:space="preserve"> Die passende Beleuchtung – wie hier in einem Juweliergeschäft – ist zentral für den Beratungs- und Verkaufsprozess. Besonders lebendig wirkt das Ensemble, wenn die Unterbau-Spotleuchten von Häfele ein deutliches Licht- und Schattenspiel entstehen lassen. Foto: Häfele</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A8553A" w14:paraId="0BD0FDDA" w14:textId="77777777">
        <w:tc>
          <w:tcPr>
            <w:tcW w:w="2444" w:type="pct"/>
            <w:tcBorders>
              <w:top w:val="nil"/>
              <w:left w:val="nil"/>
              <w:bottom w:val="nil"/>
              <w:right w:val="nil"/>
            </w:tcBorders>
            <w:tcMar>
              <w:top w:w="0" w:type="dxa"/>
              <w:left w:w="0" w:type="dxa"/>
              <w:bottom w:w="0" w:type="dxa"/>
              <w:right w:w="0" w:type="dxa"/>
            </w:tcMar>
          </w:tcPr>
          <w:p w14:paraId="2F9D6AC7" w14:textId="77777777" w:rsidR="00A8553A"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45162717"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DE66C2D" w14:textId="77777777" w:rsidR="00A8553A" w:rsidRDefault="00000000">
            <w:pPr>
              <w:keepNext/>
              <w:keepLines/>
              <w:spacing w:line="240" w:lineRule="auto"/>
              <w:rPr>
                <w:sz w:val="14"/>
                <w:szCs w:val="14"/>
              </w:rPr>
            </w:pPr>
            <w:r>
              <w:rPr>
                <w:sz w:val="14"/>
                <w:szCs w:val="14"/>
              </w:rPr>
              <w:t>6.</w:t>
            </w:r>
          </w:p>
        </w:tc>
      </w:tr>
      <w:tr w:rsidR="00A8553A" w14:paraId="51D6AAF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A73F47" w14:textId="77777777" w:rsidR="00A8553A" w:rsidRDefault="00000000">
            <w:pPr>
              <w:keepNext/>
              <w:keepLines/>
              <w:spacing w:line="240" w:lineRule="auto"/>
              <w:rPr>
                <w:sz w:val="14"/>
                <w:szCs w:val="14"/>
              </w:rPr>
            </w:pPr>
            <w:r>
              <w:rPr>
                <w:noProof/>
                <w:sz w:val="14"/>
                <w:szCs w:val="14"/>
              </w:rPr>
              <w:drawing>
                <wp:inline distT="0" distB="0" distL="0" distR="0" wp14:anchorId="0AC32A31" wp14:editId="7C365870">
                  <wp:extent cx="290131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3"/>
                          <a:srcRect/>
                          <a:stretch>
                            <a:fillRect/>
                          </a:stretch>
                        </pic:blipFill>
                        <pic:spPr>
                          <a:xfrm>
                            <a:off x="0" y="0"/>
                            <a:ext cx="290131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A3371A5" w14:textId="77777777" w:rsidR="00A8553A" w:rsidRDefault="00A8553A">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29B7B50" w14:textId="77777777" w:rsidR="00A8553A" w:rsidRDefault="00000000">
            <w:pPr>
              <w:keepNext/>
              <w:keepLines/>
              <w:spacing w:line="240" w:lineRule="auto"/>
              <w:rPr>
                <w:sz w:val="14"/>
                <w:szCs w:val="14"/>
              </w:rPr>
            </w:pPr>
            <w:r>
              <w:rPr>
                <w:noProof/>
                <w:sz w:val="14"/>
                <w:szCs w:val="14"/>
              </w:rPr>
              <w:drawing>
                <wp:inline distT="0" distB="0" distL="0" distR="0" wp14:anchorId="4BEBBB32" wp14:editId="2D794668">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4"/>
                          <a:srcRect/>
                          <a:stretch>
                            <a:fillRect/>
                          </a:stretch>
                        </pic:blipFill>
                        <pic:spPr>
                          <a:xfrm>
                            <a:off x="0" y="0"/>
                            <a:ext cx="1343660" cy="2014220"/>
                          </a:xfrm>
                          <a:prstGeom prst="rect">
                            <a:avLst/>
                          </a:prstGeom>
                        </pic:spPr>
                      </pic:pic>
                    </a:graphicData>
                  </a:graphic>
                </wp:inline>
              </w:drawing>
            </w:r>
          </w:p>
        </w:tc>
      </w:tr>
      <w:tr w:rsidR="00A8553A" w14:paraId="7050A158" w14:textId="77777777">
        <w:tc>
          <w:tcPr>
            <w:tcW w:w="2444" w:type="pct"/>
            <w:tcBorders>
              <w:top w:val="nil"/>
              <w:left w:val="nil"/>
              <w:bottom w:val="nil"/>
              <w:right w:val="nil"/>
            </w:tcBorders>
            <w:tcMar>
              <w:top w:w="0" w:type="dxa"/>
              <w:left w:w="0" w:type="dxa"/>
              <w:bottom w:w="0" w:type="dxa"/>
              <w:right w:w="0" w:type="dxa"/>
            </w:tcMar>
          </w:tcPr>
          <w:p w14:paraId="336AA0B9" w14:textId="77777777" w:rsidR="00A8553A" w:rsidRDefault="00A8553A">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1CA4B9DE"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67B3942" w14:textId="77777777" w:rsidR="00A8553A" w:rsidRDefault="00A8553A">
            <w:pPr>
              <w:keepNext/>
              <w:keepLines/>
              <w:spacing w:line="240" w:lineRule="auto"/>
              <w:rPr>
                <w:sz w:val="14"/>
                <w:szCs w:val="14"/>
              </w:rPr>
            </w:pPr>
          </w:p>
        </w:tc>
      </w:tr>
      <w:tr w:rsidR="00A8553A" w14:paraId="0D44FC5E" w14:textId="77777777">
        <w:tc>
          <w:tcPr>
            <w:tcW w:w="2444" w:type="pct"/>
            <w:tcBorders>
              <w:top w:val="nil"/>
              <w:left w:val="nil"/>
              <w:bottom w:val="nil"/>
              <w:right w:val="nil"/>
            </w:tcBorders>
            <w:tcMar>
              <w:top w:w="0" w:type="dxa"/>
              <w:left w:w="0" w:type="dxa"/>
              <w:bottom w:w="0" w:type="dxa"/>
              <w:right w:w="0" w:type="dxa"/>
            </w:tcMar>
          </w:tcPr>
          <w:p w14:paraId="604A9D49" w14:textId="77777777" w:rsidR="00A8553A"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2980DE26" w14:textId="77777777" w:rsidR="00A8553A" w:rsidRDefault="00A8553A">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FD72F78" w14:textId="77777777" w:rsidR="00A8553A" w:rsidRDefault="00A8553A">
            <w:pPr>
              <w:keepNext/>
              <w:keepLines/>
              <w:spacing w:line="240" w:lineRule="auto"/>
              <w:rPr>
                <w:sz w:val="14"/>
                <w:szCs w:val="14"/>
              </w:rPr>
            </w:pPr>
          </w:p>
        </w:tc>
      </w:tr>
      <w:tr w:rsidR="00A8553A" w14:paraId="3F9A8279"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2A925999" w14:textId="77777777" w:rsidR="00A8553A" w:rsidRDefault="00000000">
            <w:pPr>
              <w:keepNext/>
              <w:keepLines/>
              <w:spacing w:line="240" w:lineRule="auto"/>
              <w:rPr>
                <w:sz w:val="14"/>
                <w:szCs w:val="14"/>
              </w:rPr>
            </w:pPr>
            <w:r>
              <w:rPr>
                <w:noProof/>
                <w:sz w:val="14"/>
                <w:szCs w:val="14"/>
              </w:rPr>
              <w:drawing>
                <wp:inline distT="0" distB="0" distL="0" distR="0" wp14:anchorId="208EC412" wp14:editId="2004BA89">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5"/>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B8405F1" w14:textId="77777777" w:rsidR="00A8553A" w:rsidRDefault="00A8553A">
            <w:pPr>
              <w:keepNext/>
              <w:keepLines/>
              <w:spacing w:line="240" w:lineRule="auto"/>
              <w:rPr>
                <w:sz w:val="17"/>
                <w:szCs w:val="17"/>
              </w:rPr>
            </w:pPr>
          </w:p>
        </w:tc>
        <w:tc>
          <w:tcPr>
            <w:tcW w:w="2444" w:type="pct"/>
            <w:tcBorders>
              <w:top w:val="nil"/>
              <w:left w:val="nil"/>
              <w:bottom w:val="nil"/>
              <w:right w:val="nil"/>
            </w:tcBorders>
            <w:tcMar>
              <w:top w:w="0" w:type="dxa"/>
              <w:left w:w="0" w:type="dxa"/>
              <w:bottom w:w="0" w:type="dxa"/>
              <w:right w:w="0" w:type="dxa"/>
            </w:tcMar>
          </w:tcPr>
          <w:p w14:paraId="22E4D3B5" w14:textId="77777777" w:rsidR="00A8553A" w:rsidRDefault="00A8553A">
            <w:pPr>
              <w:keepNext/>
              <w:keepLines/>
              <w:spacing w:line="240" w:lineRule="auto"/>
              <w:rPr>
                <w:sz w:val="17"/>
                <w:szCs w:val="17"/>
              </w:rPr>
            </w:pPr>
          </w:p>
        </w:tc>
      </w:tr>
    </w:tbl>
    <w:p w14:paraId="258C2CE2" w14:textId="77777777" w:rsidR="00A8553A"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A8553A" w14:paraId="2D1DACB6" w14:textId="77777777">
        <w:tc>
          <w:tcPr>
            <w:tcW w:w="3500" w:type="pct"/>
            <w:gridSpan w:val="2"/>
            <w:tcBorders>
              <w:top w:val="nil"/>
              <w:left w:val="nil"/>
              <w:bottom w:val="nil"/>
              <w:right w:val="nil"/>
            </w:tcBorders>
            <w:tcMar>
              <w:top w:w="0" w:type="dxa"/>
              <w:left w:w="0" w:type="dxa"/>
              <w:bottom w:w="0" w:type="dxa"/>
              <w:right w:w="227" w:type="dxa"/>
            </w:tcMar>
          </w:tcPr>
          <w:p w14:paraId="0DA2942D" w14:textId="77777777" w:rsidR="00A8553A" w:rsidRDefault="00000000">
            <w:pPr>
              <w:spacing w:before="240" w:after="240"/>
              <w:rPr>
                <w:sz w:val="20"/>
                <w:szCs w:val="20"/>
              </w:rPr>
            </w:pPr>
            <w:r>
              <w:rPr>
                <w:b/>
                <w:sz w:val="20"/>
                <w:szCs w:val="20"/>
              </w:rPr>
              <w:lastRenderedPageBreak/>
              <w:t>Über Häfele</w:t>
            </w:r>
          </w:p>
          <w:p w14:paraId="311B2D0F" w14:textId="77777777" w:rsidR="00A8553A" w:rsidRDefault="00000000">
            <w:pPr>
              <w:spacing w:before="240" w:after="240"/>
              <w:rPr>
                <w:sz w:val="20"/>
                <w:szCs w:val="20"/>
              </w:rPr>
            </w:pPr>
            <w:proofErr w:type="spellStart"/>
            <w:r>
              <w:rPr>
                <w:b/>
                <w:sz w:val="20"/>
                <w:szCs w:val="20"/>
              </w:rPr>
              <w:t>Maximising</w:t>
            </w:r>
            <w:proofErr w:type="spellEnd"/>
            <w:r>
              <w:rPr>
                <w:b/>
                <w:sz w:val="20"/>
                <w:szCs w:val="20"/>
              </w:rPr>
              <w:t xml:space="preserve"> </w:t>
            </w:r>
            <w:proofErr w:type="spellStart"/>
            <w:r>
              <w:rPr>
                <w:b/>
                <w:sz w:val="20"/>
                <w:szCs w:val="20"/>
              </w:rPr>
              <w:t>the</w:t>
            </w:r>
            <w:proofErr w:type="spellEnd"/>
            <w:r>
              <w:rPr>
                <w:b/>
                <w:sz w:val="20"/>
                <w:szCs w:val="20"/>
              </w:rPr>
              <w:t xml:space="preserve"> </w:t>
            </w:r>
            <w:proofErr w:type="spellStart"/>
            <w:r>
              <w:rPr>
                <w:b/>
                <w:sz w:val="20"/>
                <w:szCs w:val="20"/>
              </w:rPr>
              <w:t>value</w:t>
            </w:r>
            <w:proofErr w:type="spellEnd"/>
            <w:r>
              <w:rPr>
                <w:b/>
                <w:sz w:val="20"/>
                <w:szCs w:val="20"/>
              </w:rPr>
              <w:t xml:space="preserve"> </w:t>
            </w:r>
            <w:proofErr w:type="spellStart"/>
            <w:r>
              <w:rPr>
                <w:b/>
                <w:sz w:val="20"/>
                <w:szCs w:val="20"/>
              </w:rPr>
              <w:t>of</w:t>
            </w:r>
            <w:proofErr w:type="spellEnd"/>
            <w:r>
              <w:rPr>
                <w:b/>
                <w:sz w:val="20"/>
                <w:szCs w:val="20"/>
              </w:rPr>
              <w:t xml:space="preserve"> </w:t>
            </w:r>
            <w:proofErr w:type="spellStart"/>
            <w:r>
              <w:rPr>
                <w:b/>
                <w:sz w:val="20"/>
                <w:szCs w:val="20"/>
              </w:rPr>
              <w:t>space</w:t>
            </w:r>
            <w:proofErr w:type="spellEnd"/>
            <w:r>
              <w:rPr>
                <w:b/>
                <w:sz w:val="20"/>
                <w:szCs w:val="20"/>
              </w:rPr>
              <w:t xml:space="preserve">. </w:t>
            </w:r>
            <w:proofErr w:type="spellStart"/>
            <w:r>
              <w:rPr>
                <w:b/>
                <w:sz w:val="20"/>
                <w:szCs w:val="20"/>
              </w:rPr>
              <w:t>Together</w:t>
            </w:r>
            <w:proofErr w:type="spellEnd"/>
            <w:r>
              <w:rPr>
                <w:b/>
                <w:sz w:val="20"/>
                <w:szCs w:val="20"/>
              </w:rPr>
              <w:t>.</w:t>
            </w:r>
          </w:p>
          <w:p w14:paraId="7A9C6074" w14:textId="77777777" w:rsidR="00A8553A" w:rsidRDefault="00000000">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C2D3155" w14:textId="77777777" w:rsidR="00A8553A" w:rsidRDefault="00000000">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4CCA78FF" w14:textId="77777777" w:rsidR="00A8553A" w:rsidRDefault="00000000">
            <w:pPr>
              <w:spacing w:before="240" w:after="240"/>
              <w:rPr>
                <w:sz w:val="20"/>
                <w:szCs w:val="20"/>
              </w:rPr>
            </w:pPr>
            <w:r>
              <w:rPr>
                <w:sz w:val="20"/>
                <w:szCs w:val="20"/>
              </w:rPr>
              <w:t xml:space="preserve">Über 8.000 Mitarbeitende sowie 39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ist Vorsitzende des Verwaltungsrats und Gesellschafterin des 100%igen Familienunternehmens. Im Geschäftsjahr 2024 erzielte die Häfele Gruppe einen Umsatz von 1,74 Mrd. Euro bei einem Exportanteil von 82%.</w:t>
            </w:r>
          </w:p>
          <w:p w14:paraId="0E90B6CA" w14:textId="77777777" w:rsidR="00A8553A" w:rsidRDefault="00000000">
            <w:pPr>
              <w:spacing w:before="240" w:after="240"/>
              <w:rPr>
                <w:sz w:val="20"/>
                <w:szCs w:val="20"/>
              </w:rPr>
            </w:pPr>
            <w:r>
              <w:rPr>
                <w:sz w:val="20"/>
                <w:szCs w:val="20"/>
              </w:rPr>
              <w:t xml:space="preserve">Weitere Informationen unter </w:t>
            </w:r>
            <w:hyperlink r:id="rId16">
              <w:r w:rsidR="00A8553A">
                <w:rPr>
                  <w:rStyle w:val="Hyperlink"/>
                  <w:color w:val="000000"/>
                  <w:sz w:val="20"/>
                  <w:szCs w:val="20"/>
                </w:rPr>
                <w:t>www.haefele.de</w:t>
              </w:r>
            </w:hyperlink>
          </w:p>
          <w:p w14:paraId="60C1294A" w14:textId="77777777" w:rsidR="00A8553A" w:rsidRDefault="00000000">
            <w:pPr>
              <w:rPr>
                <w:sz w:val="20"/>
                <w:szCs w:val="20"/>
              </w:rPr>
            </w:pPr>
            <w:r>
              <w:rPr>
                <w:sz w:val="20"/>
                <w:szCs w:val="20"/>
              </w:rPr>
              <w:br/>
            </w:r>
          </w:p>
        </w:tc>
        <w:tc>
          <w:tcPr>
            <w:tcW w:w="1500" w:type="pct"/>
            <w:tcBorders>
              <w:top w:val="nil"/>
              <w:left w:val="nil"/>
              <w:bottom w:val="nil"/>
              <w:right w:val="nil"/>
            </w:tcBorders>
            <w:tcMar>
              <w:top w:w="0" w:type="dxa"/>
              <w:left w:w="0" w:type="dxa"/>
              <w:bottom w:w="0" w:type="dxa"/>
              <w:right w:w="227" w:type="dxa"/>
            </w:tcMar>
          </w:tcPr>
          <w:p w14:paraId="6D59E7C7" w14:textId="77777777" w:rsidR="00A8553A" w:rsidRDefault="00000000">
            <w:pPr>
              <w:rPr>
                <w:sz w:val="20"/>
                <w:szCs w:val="20"/>
              </w:rPr>
            </w:pPr>
            <w:r>
              <w:rPr>
                <w:sz w:val="20"/>
                <w:szCs w:val="20"/>
              </w:rPr>
              <w:br/>
            </w:r>
          </w:p>
        </w:tc>
      </w:tr>
      <w:tr w:rsidR="00A8553A" w14:paraId="22FA638E" w14:textId="77777777">
        <w:trPr>
          <w:gridAfter w:val="1"/>
          <w:wAfter w:w="2160" w:type="dxa"/>
        </w:trPr>
        <w:tc>
          <w:tcPr>
            <w:tcW w:w="2520" w:type="dxa"/>
            <w:tcBorders>
              <w:top w:val="nil"/>
              <w:left w:val="nil"/>
              <w:bottom w:val="nil"/>
              <w:right w:val="nil"/>
            </w:tcBorders>
            <w:tcMar>
              <w:top w:w="0" w:type="dxa"/>
              <w:left w:w="0" w:type="dxa"/>
              <w:bottom w:w="0" w:type="dxa"/>
              <w:right w:w="227" w:type="dxa"/>
            </w:tcMar>
          </w:tcPr>
          <w:p w14:paraId="66779FDA" w14:textId="77777777" w:rsidR="00A8553A" w:rsidRDefault="00A8553A">
            <w:pPr>
              <w:rPr>
                <w:sz w:val="20"/>
                <w:szCs w:val="20"/>
              </w:rPr>
            </w:pPr>
          </w:p>
        </w:tc>
        <w:tc>
          <w:tcPr>
            <w:tcW w:w="2520" w:type="dxa"/>
            <w:tcBorders>
              <w:top w:val="nil"/>
              <w:left w:val="nil"/>
              <w:bottom w:val="nil"/>
              <w:right w:val="nil"/>
            </w:tcBorders>
            <w:tcMar>
              <w:top w:w="0" w:type="dxa"/>
              <w:left w:w="0" w:type="dxa"/>
              <w:bottom w:w="0" w:type="dxa"/>
              <w:right w:w="227" w:type="dxa"/>
            </w:tcMar>
          </w:tcPr>
          <w:p w14:paraId="163C50F4" w14:textId="77777777" w:rsidR="00A8553A" w:rsidRDefault="00A8553A">
            <w:pPr>
              <w:rPr>
                <w:sz w:val="20"/>
                <w:szCs w:val="20"/>
              </w:rPr>
            </w:pPr>
          </w:p>
        </w:tc>
      </w:tr>
    </w:tbl>
    <w:p w14:paraId="7AC9F9ED" w14:textId="77777777" w:rsidR="00A8553A" w:rsidRDefault="00A8553A">
      <w:pPr>
        <w:spacing w:line="240" w:lineRule="auto"/>
      </w:pPr>
    </w:p>
    <w:sectPr w:rsidR="00A8553A">
      <w:headerReference w:type="default" r:id="rId17"/>
      <w:footerReference w:type="default" r:id="rId18"/>
      <w:headerReference w:type="first" r:id="rId19"/>
      <w:footerReference w:type="first" r:id="rId20"/>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65289" w14:textId="77777777" w:rsidR="00A62F13" w:rsidRDefault="00A62F13">
      <w:pPr>
        <w:spacing w:line="240" w:lineRule="auto"/>
      </w:pPr>
      <w:r>
        <w:separator/>
      </w:r>
    </w:p>
  </w:endnote>
  <w:endnote w:type="continuationSeparator" w:id="0">
    <w:p w14:paraId="741E6DE8" w14:textId="77777777" w:rsidR="00A62F13" w:rsidRDefault="00A62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A8553A" w14:paraId="51D64427" w14:textId="77777777">
      <w:tc>
        <w:tcPr>
          <w:tcW w:w="4900" w:type="pct"/>
          <w:tcBorders>
            <w:top w:val="nil"/>
            <w:left w:val="nil"/>
            <w:bottom w:val="nil"/>
            <w:right w:val="nil"/>
          </w:tcBorders>
          <w:tcMar>
            <w:top w:w="0" w:type="dxa"/>
            <w:left w:w="0" w:type="dxa"/>
            <w:bottom w:w="0" w:type="dxa"/>
            <w:right w:w="0" w:type="dxa"/>
          </w:tcMar>
          <w:vAlign w:val="bottom"/>
        </w:tcPr>
        <w:p w14:paraId="686C8C97" w14:textId="77777777" w:rsidR="00A8553A" w:rsidRDefault="00A8553A">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75A64B5" w14:textId="77777777" w:rsidR="00A8553A" w:rsidRDefault="00A8553A">
          <w:pPr>
            <w:rPr>
              <w:sz w:val="14"/>
              <w:szCs w:val="14"/>
            </w:rPr>
          </w:pPr>
        </w:p>
      </w:tc>
    </w:tr>
  </w:tbl>
  <w:p w14:paraId="24016230" w14:textId="77777777" w:rsidR="00A8553A" w:rsidRDefault="00A8553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A8553A" w14:paraId="64BF5690" w14:textId="77777777">
      <w:tc>
        <w:tcPr>
          <w:tcW w:w="4900" w:type="pct"/>
          <w:tcBorders>
            <w:top w:val="nil"/>
            <w:left w:val="nil"/>
            <w:bottom w:val="nil"/>
            <w:right w:val="nil"/>
          </w:tcBorders>
          <w:tcMar>
            <w:top w:w="0" w:type="dxa"/>
            <w:left w:w="0" w:type="dxa"/>
            <w:bottom w:w="0" w:type="dxa"/>
            <w:right w:w="0" w:type="dxa"/>
          </w:tcMar>
          <w:vAlign w:val="bottom"/>
        </w:tcPr>
        <w:p w14:paraId="34B87C83" w14:textId="77777777" w:rsidR="00A8553A" w:rsidRDefault="00A8553A">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48D88A1" w14:textId="77777777" w:rsidR="00A8553A" w:rsidRDefault="00A8553A">
          <w:pPr>
            <w:rPr>
              <w:sz w:val="14"/>
              <w:szCs w:val="14"/>
            </w:rPr>
          </w:pPr>
        </w:p>
      </w:tc>
    </w:tr>
  </w:tbl>
  <w:p w14:paraId="1B68B67F" w14:textId="77777777" w:rsidR="00A8553A" w:rsidRDefault="00A8553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3EB40" w14:textId="77777777" w:rsidR="00A62F13" w:rsidRDefault="00A62F13">
      <w:pPr>
        <w:spacing w:line="240" w:lineRule="auto"/>
      </w:pPr>
      <w:r>
        <w:separator/>
      </w:r>
    </w:p>
  </w:footnote>
  <w:footnote w:type="continuationSeparator" w:id="0">
    <w:p w14:paraId="579C4804" w14:textId="77777777" w:rsidR="00A62F13" w:rsidRDefault="00A62F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5AB95" w14:textId="77777777" w:rsidR="00A8553A" w:rsidRDefault="00000000">
    <w:r>
      <w:rPr>
        <w:noProof/>
      </w:rPr>
      <w:drawing>
        <wp:anchor distT="0" distB="0" distL="114300" distR="114300" simplePos="0" relativeHeight="251659264" behindDoc="0" locked="0" layoutInCell="0" allowOverlap="0" wp14:anchorId="24FF4C58" wp14:editId="7120A475">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40605" w14:textId="77777777" w:rsidR="00A8553A" w:rsidRDefault="00000000">
    <w:r>
      <w:rPr>
        <w:noProof/>
      </w:rPr>
      <w:drawing>
        <wp:anchor distT="0" distB="0" distL="114300" distR="114300" simplePos="0" relativeHeight="251658240" behindDoc="0" locked="0" layoutInCell="0" allowOverlap="0" wp14:anchorId="0C520A34" wp14:editId="425E1D5F">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53A"/>
    <w:rsid w:val="00254558"/>
    <w:rsid w:val="00385EC2"/>
    <w:rsid w:val="005A7B08"/>
    <w:rsid w:val="00685A51"/>
    <w:rsid w:val="00A62F13"/>
    <w:rsid w:val="00A8553A"/>
    <w:rsid w:val="00B83E21"/>
    <w:rsid w:val="00EF1D6F"/>
    <w:rsid w:val="00FC1BED"/>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30C2D10E"/>
  <w15:docId w15:val="{6B5D1E0E-808A-3B44-A6F2-86BADE83F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B83E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aefele.de/prod-live/web/WFS/Haefele-HDE-Site/de_DE/-/EUR/Static-View/pdfcatalog/de_DE/catalogs/index.php?catalog=Lighting2026&amp;startpage=0.1" TargetMode="External"/><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pressrelease.bering-kopal.de/de/pressrelease/haefele_juwelier-kerner-in-ulm"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https://www.haefele.de/de/"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1044</Words>
  <Characters>7335</Characters>
  <Application>Microsoft Office Word</Application>
  <DocSecurity>0</DocSecurity>
  <Lines>178</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2025-12-16T13:48:00Z</dcterms:created>
  <dcterms:modified xsi:type="dcterms:W3CDTF">2025-12-16T13:48:00Z</dcterms:modified>
</cp:coreProperties>
</file>