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A8105" w14:textId="2A47A534" w:rsidR="0011237A" w:rsidRPr="00AE2E0B" w:rsidRDefault="00000000">
      <w:pPr>
        <w:rPr>
          <w:b/>
          <w:bCs/>
          <w:sz w:val="32"/>
          <w:szCs w:val="32"/>
        </w:rPr>
      </w:pPr>
      <w:r w:rsidRPr="00AE2E0B">
        <w:rPr>
          <w:b/>
          <w:bCs/>
          <w:sz w:val="32"/>
          <w:szCs w:val="32"/>
        </w:rPr>
        <w:t>Kraftvolle Statements im Badezimme</w:t>
      </w:r>
      <w:r w:rsidR="0011237A" w:rsidRPr="00AE2E0B">
        <w:rPr>
          <w:b/>
          <w:bCs/>
          <w:sz w:val="32"/>
          <w:szCs w:val="32"/>
        </w:rPr>
        <w:t>r</w:t>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6F5325" w14:paraId="6F3F3D00"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EED18A4" w14:textId="2F118996" w:rsidR="006F5325" w:rsidRPr="00947CBB" w:rsidRDefault="00000000">
            <w:r w:rsidRPr="00947CBB">
              <w:rPr>
                <w:rFonts w:eastAsia="Arial"/>
              </w:rPr>
              <w:t>TOTO präsentiert auf der ISH 2025 erstmals die Premium-Linie</w:t>
            </w:r>
            <w:r w:rsidR="0011237A">
              <w:rPr>
                <w:rFonts w:eastAsia="Arial"/>
              </w:rPr>
              <w:t xml:space="preserve"> </w:t>
            </w:r>
            <w:r w:rsidRPr="00947CBB">
              <w:rPr>
                <w:rFonts w:eastAsia="Arial"/>
              </w:rPr>
              <w:t>NEOREST in Schwarz matt und Weiß matt.</w:t>
            </w:r>
          </w:p>
        </w:tc>
        <w:tc>
          <w:tcPr>
            <w:tcW w:w="1200" w:type="pct"/>
            <w:tcBorders>
              <w:top w:val="nil"/>
              <w:left w:val="nil"/>
              <w:bottom w:val="nil"/>
              <w:right w:val="nil"/>
            </w:tcBorders>
            <w:shd w:val="clear" w:color="auto" w:fill="auto"/>
            <w:tcMar>
              <w:top w:w="0" w:type="dxa"/>
              <w:left w:w="0" w:type="dxa"/>
              <w:bottom w:w="0" w:type="dxa"/>
              <w:right w:w="227" w:type="dxa"/>
            </w:tcMar>
          </w:tcPr>
          <w:p w14:paraId="78D71B4C" w14:textId="77777777" w:rsidR="006F5325" w:rsidRDefault="006F5325"/>
        </w:tc>
      </w:tr>
      <w:tr w:rsidR="006F5325" w14:paraId="325F9F00"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681415B8" w14:textId="77777777" w:rsidR="006F5325" w:rsidRDefault="006F5325"/>
        </w:tc>
        <w:tc>
          <w:tcPr>
            <w:tcW w:w="2736" w:type="dxa"/>
            <w:tcBorders>
              <w:top w:val="nil"/>
              <w:left w:val="nil"/>
              <w:bottom w:val="nil"/>
              <w:right w:val="nil"/>
            </w:tcBorders>
            <w:shd w:val="clear" w:color="auto" w:fill="auto"/>
            <w:tcMar>
              <w:top w:w="0" w:type="dxa"/>
              <w:left w:w="0" w:type="dxa"/>
              <w:bottom w:w="0" w:type="dxa"/>
              <w:right w:w="227" w:type="dxa"/>
            </w:tcMar>
          </w:tcPr>
          <w:p w14:paraId="65922343" w14:textId="77777777" w:rsidR="006F5325" w:rsidRDefault="006F5325"/>
        </w:tc>
      </w:tr>
    </w:tbl>
    <w:p w14:paraId="19639ECA" w14:textId="77777777" w:rsidR="006F5325"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F5325" w14:paraId="3A652DD7"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DCF726B" w14:textId="77777777" w:rsidR="006F5325" w:rsidRDefault="00000000">
            <w:pPr>
              <w:rPr>
                <w:sz w:val="18"/>
                <w:szCs w:val="18"/>
              </w:rPr>
            </w:pPr>
            <w:r>
              <w:rPr>
                <w:noProof/>
                <w:sz w:val="18"/>
                <w:szCs w:val="18"/>
              </w:rPr>
              <w:drawing>
                <wp:inline distT="0" distB="0" distL="0" distR="0" wp14:anchorId="769BD90A" wp14:editId="53E2437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69C6912" w14:textId="77777777" w:rsidR="006F5325"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6F5325" w14:paraId="23A1893D" w14:textId="77777777">
        <w:tc>
          <w:tcPr>
            <w:tcW w:w="3800" w:type="pct"/>
            <w:tcBorders>
              <w:top w:val="nil"/>
              <w:left w:val="nil"/>
              <w:bottom w:val="nil"/>
              <w:right w:val="nil"/>
            </w:tcBorders>
            <w:shd w:val="clear" w:color="auto" w:fill="auto"/>
            <w:tcMar>
              <w:top w:w="0" w:type="dxa"/>
              <w:left w:w="0" w:type="dxa"/>
              <w:bottom w:w="0" w:type="dxa"/>
              <w:right w:w="227" w:type="dxa"/>
            </w:tcMar>
          </w:tcPr>
          <w:p w14:paraId="4977BAD2" w14:textId="50E3BF7C" w:rsidR="006F5325" w:rsidRPr="00947CBB" w:rsidRDefault="00000000">
            <w:pPr>
              <w:spacing w:after="240"/>
              <w:rPr>
                <w:i/>
                <w:sz w:val="20"/>
                <w:szCs w:val="20"/>
              </w:rPr>
            </w:pPr>
            <w:r>
              <w:rPr>
                <w:i/>
                <w:sz w:val="20"/>
                <w:szCs w:val="20"/>
              </w:rPr>
              <w:t>Neuer Planungsspielraum für anspruchsvolle Badezimmer: Die neuen Farb</w:t>
            </w:r>
            <w:r w:rsidR="00947CBB">
              <w:rPr>
                <w:i/>
                <w:sz w:val="20"/>
                <w:szCs w:val="20"/>
              </w:rPr>
              <w:t xml:space="preserve">- </w:t>
            </w:r>
            <w:r>
              <w:rPr>
                <w:i/>
                <w:sz w:val="20"/>
                <w:szCs w:val="20"/>
              </w:rPr>
              <w:t xml:space="preserve">varianten Schwarz matt und Weiß matt geben der NEOREST Premiumlinie von TOTO eine neue Präsenz im Raum und entfalten eine einzigartige Ausstrahlung. </w:t>
            </w:r>
            <w:r w:rsidR="00947CBB">
              <w:rPr>
                <w:i/>
                <w:sz w:val="20"/>
                <w:szCs w:val="20"/>
              </w:rPr>
              <w:br/>
            </w:r>
            <w:r>
              <w:rPr>
                <w:i/>
                <w:sz w:val="20"/>
                <w:szCs w:val="20"/>
              </w:rPr>
              <w:t>In Schwarz matt wirken das NEOREST WC mit integriertem WASHLET (WX), sowie die passenden Waschtische besonders exklusiv, in Weiß matt in höchstem Maß minimalistisch. Beide Farbvarianten erweitern den planerischen Spielraum für anspruchsvolle Badezimmer. Passend zu den neuen Farben der Keramiken gibt es nun auch die spritzfreie Automatikarmatur dieser Serie in Schwarz matt und Nickel gebürstet. Die Floating Badewanne wird farblich dazu passend in der Ausführung Bi-Colour gezeigt</w:t>
            </w:r>
            <w:r w:rsidR="0011237A">
              <w:rPr>
                <w:i/>
                <w:sz w:val="20"/>
                <w:szCs w:val="20"/>
              </w:rPr>
              <w:t>.</w:t>
            </w:r>
            <w:r>
              <w:rPr>
                <w:i/>
                <w:sz w:val="20"/>
                <w:szCs w:val="20"/>
              </w:rPr>
              <w:t xml:space="preserve">  </w:t>
            </w:r>
            <w:r>
              <w:rPr>
                <w:sz w:val="20"/>
                <w:szCs w:val="20"/>
              </w:rPr>
              <w:br/>
            </w:r>
            <w:r>
              <w:rPr>
                <w:i/>
                <w:sz w:val="20"/>
                <w:szCs w:val="20"/>
              </w:rPr>
              <w:t> </w:t>
            </w:r>
            <w:r>
              <w:rPr>
                <w:sz w:val="20"/>
                <w:szCs w:val="20"/>
              </w:rPr>
              <w:br/>
              <w:t>Schwarz ist ausdrucksstark und bringt ein überraschendes Moment in Badezimmer-Interieurs. Denn Schwarz bildet die perfekte Kulisse für Inszenierungen und verleiht Räumen eine besondere Tiefe. Mit der neuen Edition der NEOREST Premium-Linie in Schwarz matt gibt TOTO neue Impulse für die Planung von anspruchsvollen Badezimmern mit dunkler Note.</w:t>
            </w:r>
          </w:p>
          <w:p w14:paraId="1146D79E" w14:textId="77777777" w:rsidR="006F5325" w:rsidRDefault="00000000">
            <w:pPr>
              <w:spacing w:after="240"/>
              <w:rPr>
                <w:sz w:val="20"/>
                <w:szCs w:val="20"/>
              </w:rPr>
            </w:pPr>
            <w:r>
              <w:rPr>
                <w:b/>
                <w:sz w:val="20"/>
                <w:szCs w:val="20"/>
              </w:rPr>
              <w:t>Designanspruch, Luxus und Eleganz</w:t>
            </w:r>
          </w:p>
          <w:p w14:paraId="65CA8D41" w14:textId="7BEFCDED" w:rsidR="006F5325" w:rsidRDefault="00000000">
            <w:pPr>
              <w:spacing w:after="240"/>
              <w:rPr>
                <w:sz w:val="20"/>
                <w:szCs w:val="20"/>
              </w:rPr>
            </w:pPr>
            <w:r>
              <w:rPr>
                <w:sz w:val="20"/>
                <w:szCs w:val="20"/>
              </w:rPr>
              <w:t>Eines der Highlights auf der Weltleitmesse ISH 2025 ist das NEOREST WX, WC mit integriertem WASHLET, in Schwarz matt inklusive Drückerplatte und Fernbe</w:t>
            </w:r>
            <w:r w:rsidR="00947CBB">
              <w:rPr>
                <w:sz w:val="20"/>
                <w:szCs w:val="20"/>
              </w:rPr>
              <w:t xml:space="preserve">- </w:t>
            </w:r>
            <w:r>
              <w:rPr>
                <w:sz w:val="20"/>
                <w:szCs w:val="20"/>
              </w:rPr>
              <w:t xml:space="preserve">dienung. Vollkommen stimmig dazu wurde auch der feinwandige NEOREST Aufsatzwaschtisch TL sowie die Automatikarmatur ZN konzipiert. „Wohl kaum eine andere Keramikfarbe spiegelt Designanspruch, Luxus und Eleganz mehr wider als Schwarz“, so das Statement von TOTO. Ebenfalls neu im Farbspektrum von TOTO ist die Variante in Weiß matt, die der NEOREST Linie einen zeitlosen Minimalismus, zurückhaltende Eleganz und visuelle Leichtigkeit </w:t>
            </w:r>
            <w:r>
              <w:rPr>
                <w:sz w:val="20"/>
                <w:szCs w:val="20"/>
              </w:rPr>
              <w:lastRenderedPageBreak/>
              <w:t>verleiht. Auch haptisch sind die neuen Ausführungen in Schwarz und Weiß matt ein Erlebnis: Sie sprechen mit ihrer samtig-weichen Oberfläche die Sinne an und sind Teil eines Wellnessgefühls im Badezimmer.</w:t>
            </w:r>
          </w:p>
          <w:p w14:paraId="2699F40C" w14:textId="352CE097" w:rsidR="006F5325" w:rsidRDefault="00000000">
            <w:pPr>
              <w:spacing w:after="240"/>
              <w:rPr>
                <w:sz w:val="20"/>
                <w:szCs w:val="20"/>
              </w:rPr>
            </w:pPr>
            <w:r>
              <w:rPr>
                <w:b/>
                <w:sz w:val="20"/>
                <w:szCs w:val="20"/>
              </w:rPr>
              <w:t>Komfort und Design auf höchstem Level: </w:t>
            </w:r>
            <w:r w:rsidR="00947CBB">
              <w:rPr>
                <w:b/>
                <w:sz w:val="20"/>
                <w:szCs w:val="20"/>
              </w:rPr>
              <w:br/>
            </w:r>
            <w:r>
              <w:rPr>
                <w:b/>
                <w:sz w:val="20"/>
                <w:szCs w:val="20"/>
              </w:rPr>
              <w:t>Die neue Bi-Colour–Floatingbadewanne</w:t>
            </w:r>
          </w:p>
          <w:p w14:paraId="7B342661" w14:textId="07293A51" w:rsidR="006F5325" w:rsidRDefault="00000000">
            <w:pPr>
              <w:spacing w:after="240"/>
              <w:rPr>
                <w:sz w:val="20"/>
                <w:szCs w:val="20"/>
              </w:rPr>
            </w:pPr>
            <w:r>
              <w:rPr>
                <w:sz w:val="20"/>
                <w:szCs w:val="20"/>
              </w:rPr>
              <w:t>Freistehende Badewannen stehen für puren Luxus im Badezimmer. Die beliebte Floating Badewanne von TOTO ist allein aufgrund ihrer Ergonomie ein Produkt der Extraklasse: Sie verspricht ergonomisch die optimale Relaxposition und maximale Entspannung. Dank der Zero Dimension Technologie ist sie so geformt, dass sie die Körperhaltung eines Astronauten in der Schwerelosigkeit im Weltraum nachempfindet. Nun hat TOTO auch in der Gestaltung ein neues Level erreicht und stellt erstmals auf der ISH 2025 die Floating Badewanne in einer neuen Bi-Colour Variante vor. Ein Eyecatcher par excellence, der seine volle Wirkung in einem dunklen Badezimmerambiente entfaltet. Sie spielt perfekt mit der neuen NEOREST Designvariante in Schwarz matt zusammen. Ihr Äußeres ist in Schwarz matt gehalten, dass Innere strahlt in reinem Weiß. </w:t>
            </w:r>
          </w:p>
          <w:p w14:paraId="1AB15605" w14:textId="77777777" w:rsidR="006F5325" w:rsidRDefault="00000000">
            <w:pPr>
              <w:spacing w:after="240"/>
              <w:rPr>
                <w:sz w:val="20"/>
                <w:szCs w:val="20"/>
              </w:rPr>
            </w:pPr>
            <w:r>
              <w:rPr>
                <w:b/>
                <w:sz w:val="20"/>
                <w:szCs w:val="20"/>
              </w:rPr>
              <w:t>TOTO begeistert mit frischem Look &amp; Feel</w:t>
            </w:r>
          </w:p>
          <w:p w14:paraId="6FFC3493" w14:textId="77777777" w:rsidR="006F5325" w:rsidRDefault="00000000">
            <w:pPr>
              <w:rPr>
                <w:sz w:val="20"/>
                <w:szCs w:val="20"/>
              </w:rPr>
            </w:pPr>
            <w:r>
              <w:rPr>
                <w:sz w:val="20"/>
                <w:szCs w:val="20"/>
              </w:rPr>
              <w:t>TOTO steht wie kaum ein anderes Unternehmen für Langlebigkeit, Funktion, und Hygiene auf höchstem Niveau. Mit den neuen Farbvarianten in Schwarz matt und Weiß matt beweist der japanische Sanitärexperte erneut, dass bewährte und technologisch vollkommen ausgereifte Produkte mit frischem Look &amp; Feel begeistern können. So charakterisiert TOTO die neue Edition seiner Premium-Linie NEOREST als „Quintessenz aus Eleganz und Perfektion“.</w:t>
            </w:r>
          </w:p>
          <w:p w14:paraId="10EC7D8D" w14:textId="3A508A84" w:rsidR="00F0783F" w:rsidRDefault="00F36CE5">
            <w:pPr>
              <w:rPr>
                <w:sz w:val="20"/>
                <w:szCs w:val="20"/>
              </w:rPr>
            </w:pPr>
            <w:r>
              <w:rPr>
                <w:sz w:val="20"/>
                <w:szCs w:val="20"/>
              </w:rPr>
              <w:br/>
            </w:r>
          </w:p>
          <w:p w14:paraId="203DBE2F" w14:textId="24DF39AD" w:rsidR="00F0783F" w:rsidRDefault="00F0783F">
            <w:pPr>
              <w:rPr>
                <w:sz w:val="20"/>
                <w:szCs w:val="20"/>
              </w:rPr>
            </w:pPr>
            <w:r>
              <w:rPr>
                <w:sz w:val="20"/>
                <w:szCs w:val="20"/>
              </w:rPr>
              <w:t>Düsseldorf, im März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14:paraId="7BB5C5AC" w14:textId="77777777" w:rsidR="006F5325" w:rsidRDefault="00000000">
            <w:pPr>
              <w:spacing w:after="240"/>
              <w:rPr>
                <w:sz w:val="20"/>
                <w:szCs w:val="20"/>
              </w:rPr>
            </w:pPr>
            <w:r>
              <w:rPr>
                <w:b/>
                <w:sz w:val="20"/>
                <w:szCs w:val="20"/>
              </w:rPr>
              <w:lastRenderedPageBreak/>
              <w:t>Ansprechpartner für Journalisten:</w:t>
            </w:r>
            <w:r>
              <w:rPr>
                <w:b/>
                <w:sz w:val="20"/>
                <w:szCs w:val="20"/>
              </w:rPr>
              <w:br/>
            </w:r>
            <w:r>
              <w:rPr>
                <w:sz w:val="20"/>
                <w:szCs w:val="20"/>
              </w:rPr>
              <w:t>bering*kopal GbR, Büro für Kommunikation</w:t>
            </w:r>
            <w:r>
              <w:rPr>
                <w:sz w:val="20"/>
                <w:szCs w:val="20"/>
              </w:rPr>
              <w:br/>
              <w:t>Heike Bering</w:t>
            </w:r>
            <w:r>
              <w:rPr>
                <w:sz w:val="20"/>
                <w:szCs w:val="20"/>
              </w:rPr>
              <w:br/>
              <w:t>Tel. +49 (0)711 7451 759 15</w:t>
            </w:r>
          </w:p>
          <w:p w14:paraId="076D44F5" w14:textId="77777777" w:rsidR="006F5325" w:rsidRDefault="00000000">
            <w:pPr>
              <w:spacing w:after="240"/>
              <w:rPr>
                <w:sz w:val="20"/>
                <w:szCs w:val="20"/>
              </w:rPr>
            </w:pPr>
            <w:r>
              <w:rPr>
                <w:sz w:val="20"/>
                <w:szCs w:val="20"/>
              </w:rPr>
              <w:t>heike.bering@</w:t>
            </w:r>
            <w:r>
              <w:rPr>
                <w:sz w:val="20"/>
                <w:szCs w:val="20"/>
              </w:rPr>
              <w:br/>
              <w:t>bering-kopal.de</w:t>
            </w:r>
          </w:p>
          <w:p w14:paraId="05FB2D05" w14:textId="77777777" w:rsidR="006F5325"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t>anja.giersiepen@</w:t>
            </w:r>
            <w:r>
              <w:rPr>
                <w:sz w:val="20"/>
                <w:szCs w:val="20"/>
              </w:rPr>
              <w:br/>
              <w:t>toto.com</w:t>
            </w:r>
          </w:p>
          <w:p w14:paraId="0FFACD45" w14:textId="77777777" w:rsidR="006F5325" w:rsidRDefault="00000000">
            <w:pPr>
              <w:rPr>
                <w:sz w:val="20"/>
                <w:szCs w:val="20"/>
              </w:rPr>
            </w:pPr>
            <w:r>
              <w:rPr>
                <w:sz w:val="20"/>
                <w:szCs w:val="20"/>
              </w:rPr>
              <w:t>TOTO im Internet:</w:t>
            </w:r>
            <w:r>
              <w:rPr>
                <w:sz w:val="20"/>
                <w:szCs w:val="20"/>
              </w:rPr>
              <w:br/>
            </w:r>
            <w:hyperlink r:id="rId7">
              <w:r w:rsidR="006F5325">
                <w:rPr>
                  <w:rStyle w:val="Hyperlink"/>
                  <w:color w:val="000000"/>
                  <w:sz w:val="20"/>
                  <w:szCs w:val="20"/>
                </w:rPr>
                <w:t>eu.toto.com/de</w:t>
              </w:r>
            </w:hyperlink>
          </w:p>
        </w:tc>
      </w:tr>
    </w:tbl>
    <w:p w14:paraId="071AB358" w14:textId="77777777" w:rsidR="006F5325" w:rsidRDefault="00000000">
      <w:r>
        <w:br w:type="page"/>
      </w:r>
    </w:p>
    <w:p w14:paraId="265EE3B4" w14:textId="77777777" w:rsidR="006F5325" w:rsidRDefault="00000000">
      <w:pPr>
        <w:rPr>
          <w:sz w:val="17"/>
          <w:szCs w:val="17"/>
        </w:rPr>
      </w:pPr>
      <w:r>
        <w:rPr>
          <w:b/>
          <w:sz w:val="17"/>
          <w:szCs w:val="17"/>
        </w:rPr>
        <w:lastRenderedPageBreak/>
        <w:t>1</w:t>
      </w:r>
      <w:r>
        <w:rPr>
          <w:sz w:val="17"/>
          <w:szCs w:val="17"/>
        </w:rPr>
        <w:t xml:space="preserve"> Für TOTO bildet ein Badezimmer mit schwarzer Keramik die „Quintessenz aus Eleganz und Perfektion“. Die NEOREST Premium Linie in der neuen Variante Schwarz matt zeichnet sich auch durch eine samtig weiche Haptik aus. Im Fokus der ISH Neuheiten stehen das NEOREST WX, WC mit integriertem WASHLET sowie die freistehende Floating Badewanne in neuer Bi-Colour Variante. Foto: TOTO</w:t>
      </w:r>
      <w:r>
        <w:rPr>
          <w:sz w:val="17"/>
          <w:szCs w:val="17"/>
        </w:rPr>
        <w:br/>
      </w:r>
    </w:p>
    <w:p w14:paraId="215234BA" w14:textId="77777777" w:rsidR="006F5325" w:rsidRDefault="00000000">
      <w:pPr>
        <w:rPr>
          <w:sz w:val="17"/>
          <w:szCs w:val="17"/>
        </w:rPr>
      </w:pPr>
      <w:r>
        <w:rPr>
          <w:b/>
          <w:sz w:val="17"/>
          <w:szCs w:val="17"/>
        </w:rPr>
        <w:t>2</w:t>
      </w:r>
      <w:r>
        <w:rPr>
          <w:sz w:val="17"/>
          <w:szCs w:val="17"/>
        </w:rPr>
        <w:t xml:space="preserve"> Setzt einen starken Akzent im Badezimmer der Zukunft: Das NEOREST WX in Schwarz matt erweitert die Farbpalette des hochwertigen WC mit integriertem WASHLET. Foto: TOTO</w:t>
      </w:r>
      <w:r>
        <w:rPr>
          <w:sz w:val="17"/>
          <w:szCs w:val="17"/>
        </w:rPr>
        <w:br/>
      </w:r>
    </w:p>
    <w:p w14:paraId="69BD9038" w14:textId="77777777" w:rsidR="006F5325" w:rsidRDefault="00000000">
      <w:pPr>
        <w:rPr>
          <w:sz w:val="17"/>
          <w:szCs w:val="17"/>
        </w:rPr>
      </w:pPr>
      <w:r>
        <w:rPr>
          <w:b/>
          <w:sz w:val="17"/>
          <w:szCs w:val="17"/>
        </w:rPr>
        <w:t>3</w:t>
      </w:r>
      <w:r>
        <w:rPr>
          <w:sz w:val="17"/>
          <w:szCs w:val="17"/>
        </w:rPr>
        <w:t xml:space="preserve"> Ein Statement im Wellnessbad. Die ergonomisch perfekte Badewanne bewirkt eine vollständige Entspannung und ist in der neuen Bi-Colour-Variante ein Designhighlight. Außen in Schwarz matt, innen in Weiß. Foto: TOTO </w:t>
      </w:r>
      <w:r>
        <w:rPr>
          <w:sz w:val="17"/>
          <w:szCs w:val="17"/>
        </w:rPr>
        <w:br/>
      </w:r>
    </w:p>
    <w:p w14:paraId="2852AD94" w14:textId="77777777" w:rsidR="006F5325" w:rsidRDefault="00000000">
      <w:pPr>
        <w:rPr>
          <w:sz w:val="17"/>
          <w:szCs w:val="17"/>
        </w:rPr>
      </w:pPr>
      <w:r>
        <w:rPr>
          <w:b/>
          <w:sz w:val="17"/>
          <w:szCs w:val="17"/>
        </w:rPr>
        <w:t>4</w:t>
      </w:r>
      <w:r>
        <w:rPr>
          <w:sz w:val="17"/>
          <w:szCs w:val="17"/>
        </w:rPr>
        <w:t xml:space="preserve"> Perfekte Harmonie: Die dünnwandigen NEOREST Aufsatzwaschtische und die passende Automatikarmatur sind konsequent in Schwarz matt gehalten.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5325" w14:paraId="618FCBC0" w14:textId="77777777">
        <w:tc>
          <w:tcPr>
            <w:tcW w:w="2444" w:type="pct"/>
            <w:tcBorders>
              <w:top w:val="nil"/>
              <w:left w:val="nil"/>
              <w:bottom w:val="nil"/>
              <w:right w:val="nil"/>
            </w:tcBorders>
            <w:shd w:val="clear" w:color="auto" w:fill="auto"/>
            <w:tcMar>
              <w:top w:w="0" w:type="dxa"/>
              <w:left w:w="0" w:type="dxa"/>
              <w:bottom w:w="0" w:type="dxa"/>
              <w:right w:w="0" w:type="dxa"/>
            </w:tcMar>
          </w:tcPr>
          <w:p w14:paraId="06D9DC90" w14:textId="77777777" w:rsidR="006F5325"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EEF32F6"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982FF7A" w14:textId="77777777" w:rsidR="006F5325" w:rsidRDefault="00000000">
            <w:pPr>
              <w:keepNext/>
              <w:keepLines/>
              <w:rPr>
                <w:sz w:val="14"/>
                <w:szCs w:val="14"/>
              </w:rPr>
            </w:pPr>
            <w:r>
              <w:rPr>
                <w:sz w:val="14"/>
                <w:szCs w:val="14"/>
              </w:rPr>
              <w:t>2.</w:t>
            </w:r>
          </w:p>
        </w:tc>
      </w:tr>
      <w:tr w:rsidR="006F5325" w14:paraId="77F1CCA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887C2F" w14:textId="77777777" w:rsidR="006F5325" w:rsidRDefault="00000000">
            <w:pPr>
              <w:keepNext/>
              <w:keepLines/>
              <w:rPr>
                <w:sz w:val="14"/>
                <w:szCs w:val="14"/>
              </w:rPr>
            </w:pPr>
            <w:r>
              <w:rPr>
                <w:noProof/>
                <w:sz w:val="14"/>
                <w:szCs w:val="14"/>
              </w:rPr>
              <w:drawing>
                <wp:inline distT="0" distB="0" distL="0" distR="0" wp14:anchorId="2A42857F" wp14:editId="55081022">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3110571" w14:textId="77777777" w:rsidR="006F5325" w:rsidRDefault="006F5325">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F0AAF3F" w14:textId="77777777" w:rsidR="006F5325" w:rsidRDefault="00000000">
            <w:pPr>
              <w:keepNext/>
              <w:keepLines/>
              <w:rPr>
                <w:sz w:val="14"/>
                <w:szCs w:val="14"/>
              </w:rPr>
            </w:pPr>
            <w:r>
              <w:rPr>
                <w:noProof/>
                <w:sz w:val="14"/>
                <w:szCs w:val="14"/>
              </w:rPr>
              <w:drawing>
                <wp:inline distT="0" distB="0" distL="0" distR="0" wp14:anchorId="315FCEA1" wp14:editId="4386CE01">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343660" cy="2014220"/>
                          </a:xfrm>
                          <a:prstGeom prst="rect">
                            <a:avLst/>
                          </a:prstGeom>
                        </pic:spPr>
                      </pic:pic>
                    </a:graphicData>
                  </a:graphic>
                </wp:inline>
              </w:drawing>
            </w:r>
          </w:p>
        </w:tc>
      </w:tr>
      <w:tr w:rsidR="006F5325" w14:paraId="568D2D59" w14:textId="77777777">
        <w:tc>
          <w:tcPr>
            <w:tcW w:w="2444" w:type="pct"/>
            <w:tcBorders>
              <w:top w:val="nil"/>
              <w:left w:val="nil"/>
              <w:bottom w:val="nil"/>
              <w:right w:val="nil"/>
            </w:tcBorders>
            <w:shd w:val="clear" w:color="auto" w:fill="auto"/>
            <w:tcMar>
              <w:top w:w="0" w:type="dxa"/>
              <w:left w:w="0" w:type="dxa"/>
              <w:bottom w:w="0" w:type="dxa"/>
              <w:right w:w="0" w:type="dxa"/>
            </w:tcMar>
          </w:tcPr>
          <w:p w14:paraId="124497BB" w14:textId="77777777" w:rsidR="006F5325" w:rsidRDefault="006F5325">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C7DA6FD"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7C31BF" w14:textId="77777777" w:rsidR="006F5325" w:rsidRDefault="006F5325">
            <w:pPr>
              <w:keepNext/>
              <w:keepLines/>
              <w:rPr>
                <w:sz w:val="14"/>
                <w:szCs w:val="14"/>
              </w:rPr>
            </w:pPr>
          </w:p>
        </w:tc>
      </w:tr>
      <w:tr w:rsidR="006F5325" w14:paraId="5C94B70B" w14:textId="77777777">
        <w:tc>
          <w:tcPr>
            <w:tcW w:w="2444" w:type="pct"/>
            <w:tcBorders>
              <w:top w:val="nil"/>
              <w:left w:val="nil"/>
              <w:bottom w:val="nil"/>
              <w:right w:val="nil"/>
            </w:tcBorders>
            <w:shd w:val="clear" w:color="auto" w:fill="auto"/>
            <w:tcMar>
              <w:top w:w="0" w:type="dxa"/>
              <w:left w:w="0" w:type="dxa"/>
              <w:bottom w:w="0" w:type="dxa"/>
              <w:right w:w="0" w:type="dxa"/>
            </w:tcMar>
          </w:tcPr>
          <w:p w14:paraId="01119BAF" w14:textId="77777777" w:rsidR="006F5325"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B8E2EB7"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A2E76B" w14:textId="77777777" w:rsidR="006F5325" w:rsidRDefault="00000000">
            <w:pPr>
              <w:keepNext/>
              <w:keepLines/>
              <w:rPr>
                <w:sz w:val="14"/>
                <w:szCs w:val="14"/>
              </w:rPr>
            </w:pPr>
            <w:r>
              <w:rPr>
                <w:sz w:val="14"/>
                <w:szCs w:val="14"/>
              </w:rPr>
              <w:t>4.</w:t>
            </w:r>
          </w:p>
        </w:tc>
      </w:tr>
      <w:tr w:rsidR="006F5325" w14:paraId="22EC254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03F07F2" w14:textId="77777777" w:rsidR="006F5325" w:rsidRDefault="00000000">
            <w:pPr>
              <w:keepNext/>
              <w:keepLines/>
              <w:rPr>
                <w:sz w:val="14"/>
                <w:szCs w:val="14"/>
              </w:rPr>
            </w:pPr>
            <w:r>
              <w:rPr>
                <w:noProof/>
                <w:sz w:val="14"/>
                <w:szCs w:val="14"/>
              </w:rPr>
              <w:drawing>
                <wp:inline distT="0" distB="0" distL="0" distR="0" wp14:anchorId="2599DC33" wp14:editId="1AA15038">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D20BEC9" w14:textId="77777777" w:rsidR="006F5325" w:rsidRDefault="006F5325">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43DFC4" w14:textId="77777777" w:rsidR="006F5325" w:rsidRDefault="00000000">
            <w:pPr>
              <w:keepNext/>
              <w:keepLines/>
              <w:rPr>
                <w:sz w:val="14"/>
                <w:szCs w:val="14"/>
              </w:rPr>
            </w:pPr>
            <w:r>
              <w:rPr>
                <w:noProof/>
                <w:sz w:val="14"/>
                <w:szCs w:val="14"/>
              </w:rPr>
              <w:drawing>
                <wp:inline distT="0" distB="0" distL="0" distR="0" wp14:anchorId="398F36F5" wp14:editId="463C1AD6">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43660" cy="2014220"/>
                          </a:xfrm>
                          <a:prstGeom prst="rect">
                            <a:avLst/>
                          </a:prstGeom>
                        </pic:spPr>
                      </pic:pic>
                    </a:graphicData>
                  </a:graphic>
                </wp:inline>
              </w:drawing>
            </w:r>
          </w:p>
        </w:tc>
      </w:tr>
    </w:tbl>
    <w:p w14:paraId="585E6AFB" w14:textId="77777777" w:rsidR="006F5325" w:rsidRDefault="00000000">
      <w:r>
        <w:br w:type="page"/>
      </w:r>
    </w:p>
    <w:p w14:paraId="393B11C0" w14:textId="77777777" w:rsidR="006F5325" w:rsidRDefault="00000000">
      <w:pPr>
        <w:rPr>
          <w:sz w:val="17"/>
          <w:szCs w:val="17"/>
        </w:rPr>
      </w:pPr>
      <w:r>
        <w:rPr>
          <w:b/>
          <w:sz w:val="17"/>
          <w:szCs w:val="17"/>
        </w:rPr>
        <w:lastRenderedPageBreak/>
        <w:t>5</w:t>
      </w:r>
      <w:r>
        <w:rPr>
          <w:sz w:val="17"/>
          <w:szCs w:val="17"/>
        </w:rPr>
        <w:t xml:space="preserve"> TOTO bietet großen Planungsspielraum in anspruchsvollen Badezimmern. Weiß steht für Zeitlosigkeit und puren Minimalismus. Neu ist die Farbvariante in Weiß matt mit einer samtig weichen Haptik und feinen Ästhetik. Foto: TOTO</w:t>
      </w:r>
      <w:r>
        <w:rPr>
          <w:sz w:val="17"/>
          <w:szCs w:val="17"/>
        </w:rPr>
        <w:br/>
      </w:r>
    </w:p>
    <w:p w14:paraId="2A24C22D" w14:textId="53AEDC3D" w:rsidR="006F5325" w:rsidRDefault="00000000">
      <w:pPr>
        <w:rPr>
          <w:sz w:val="17"/>
          <w:szCs w:val="17"/>
        </w:rPr>
      </w:pPr>
      <w:r>
        <w:rPr>
          <w:b/>
          <w:sz w:val="17"/>
          <w:szCs w:val="17"/>
        </w:rPr>
        <w:t>6</w:t>
      </w:r>
      <w:r>
        <w:rPr>
          <w:sz w:val="17"/>
          <w:szCs w:val="17"/>
        </w:rPr>
        <w:t xml:space="preserve"> Luxus und Wellness pur: Im Zentrum der NEOREST Premium-Linie steht WX, das WC mit integriertem WASHLET, das über alle verfügbaren Hygiene- und Komfort</w:t>
      </w:r>
      <w:r w:rsidR="00947CBB">
        <w:rPr>
          <w:sz w:val="17"/>
          <w:szCs w:val="17"/>
        </w:rPr>
        <w:t>t</w:t>
      </w:r>
      <w:r>
        <w:rPr>
          <w:sz w:val="17"/>
          <w:szCs w:val="17"/>
        </w:rPr>
        <w:t>echniken von TOTO verfügt. Erstmals auf der ISH 2025 mit neuer Keramikoberfläche in Weiß matt. Foto: TOTO</w:t>
      </w:r>
      <w:r>
        <w:rPr>
          <w:sz w:val="17"/>
          <w:szCs w:val="17"/>
        </w:rPr>
        <w:br/>
      </w:r>
    </w:p>
    <w:p w14:paraId="5F3A0081" w14:textId="77777777" w:rsidR="006F5325" w:rsidRDefault="00000000">
      <w:pPr>
        <w:rPr>
          <w:sz w:val="17"/>
          <w:szCs w:val="17"/>
        </w:rPr>
      </w:pPr>
      <w:r>
        <w:rPr>
          <w:b/>
          <w:sz w:val="17"/>
          <w:szCs w:val="17"/>
        </w:rPr>
        <w:t>7</w:t>
      </w:r>
      <w:r>
        <w:rPr>
          <w:sz w:val="17"/>
          <w:szCs w:val="17"/>
        </w:rPr>
        <w:t xml:space="preserve"> TOTO charakterisiert die neue Keramik in Weiß matt als „unaufdringlich und dennoch außergewöhnlich“. Die Aufsatzwaschtische der NEOREST Premium-Linie werden auf der ISH 2025 erstmals in Weiß matt und Schwarz matt präsentiert. Passend dazu die Automatikarmatur ZN aus gebürstetem Nickel.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5325" w14:paraId="7DC7ECCD" w14:textId="77777777">
        <w:tc>
          <w:tcPr>
            <w:tcW w:w="2444" w:type="pct"/>
            <w:tcBorders>
              <w:top w:val="nil"/>
              <w:left w:val="nil"/>
              <w:bottom w:val="nil"/>
              <w:right w:val="nil"/>
            </w:tcBorders>
            <w:shd w:val="clear" w:color="auto" w:fill="auto"/>
            <w:tcMar>
              <w:top w:w="0" w:type="dxa"/>
              <w:left w:w="0" w:type="dxa"/>
              <w:bottom w:w="0" w:type="dxa"/>
              <w:right w:w="0" w:type="dxa"/>
            </w:tcMar>
          </w:tcPr>
          <w:p w14:paraId="4F322BA1" w14:textId="77777777" w:rsidR="006F5325"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2C0A65D"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3BB26AF" w14:textId="77777777" w:rsidR="006F5325" w:rsidRDefault="00000000">
            <w:pPr>
              <w:keepNext/>
              <w:keepLines/>
              <w:rPr>
                <w:sz w:val="14"/>
                <w:szCs w:val="14"/>
              </w:rPr>
            </w:pPr>
            <w:r>
              <w:rPr>
                <w:sz w:val="14"/>
                <w:szCs w:val="14"/>
              </w:rPr>
              <w:t>6.</w:t>
            </w:r>
          </w:p>
        </w:tc>
      </w:tr>
      <w:tr w:rsidR="006F5325" w14:paraId="5A848FF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D45D85" w14:textId="77777777" w:rsidR="006F5325" w:rsidRDefault="00000000">
            <w:pPr>
              <w:keepNext/>
              <w:keepLines/>
              <w:rPr>
                <w:sz w:val="14"/>
                <w:szCs w:val="14"/>
              </w:rPr>
            </w:pPr>
            <w:r>
              <w:rPr>
                <w:noProof/>
                <w:sz w:val="14"/>
                <w:szCs w:val="14"/>
              </w:rPr>
              <w:drawing>
                <wp:inline distT="0" distB="0" distL="0" distR="0" wp14:anchorId="0ADE68AD" wp14:editId="11625BAA">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314AAA1" w14:textId="77777777" w:rsidR="006F5325" w:rsidRDefault="006F5325">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AE2D14F" w14:textId="77777777" w:rsidR="006F5325" w:rsidRDefault="00000000">
            <w:pPr>
              <w:keepNext/>
              <w:keepLines/>
              <w:rPr>
                <w:sz w:val="14"/>
                <w:szCs w:val="14"/>
              </w:rPr>
            </w:pPr>
            <w:r>
              <w:rPr>
                <w:noProof/>
                <w:sz w:val="14"/>
                <w:szCs w:val="14"/>
              </w:rPr>
              <w:drawing>
                <wp:inline distT="0" distB="0" distL="0" distR="0" wp14:anchorId="05633FAF" wp14:editId="4B8ED585">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343660" cy="2014220"/>
                          </a:xfrm>
                          <a:prstGeom prst="rect">
                            <a:avLst/>
                          </a:prstGeom>
                        </pic:spPr>
                      </pic:pic>
                    </a:graphicData>
                  </a:graphic>
                </wp:inline>
              </w:drawing>
            </w:r>
          </w:p>
        </w:tc>
      </w:tr>
      <w:tr w:rsidR="006F5325" w14:paraId="18832C94" w14:textId="77777777">
        <w:tc>
          <w:tcPr>
            <w:tcW w:w="2444" w:type="pct"/>
            <w:tcBorders>
              <w:top w:val="nil"/>
              <w:left w:val="nil"/>
              <w:bottom w:val="nil"/>
              <w:right w:val="nil"/>
            </w:tcBorders>
            <w:shd w:val="clear" w:color="auto" w:fill="auto"/>
            <w:tcMar>
              <w:top w:w="0" w:type="dxa"/>
              <w:left w:w="0" w:type="dxa"/>
              <w:bottom w:w="0" w:type="dxa"/>
              <w:right w:w="0" w:type="dxa"/>
            </w:tcMar>
          </w:tcPr>
          <w:p w14:paraId="2A944037" w14:textId="77777777" w:rsidR="006F5325" w:rsidRDefault="006F5325">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4704205"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1A16A99" w14:textId="77777777" w:rsidR="006F5325" w:rsidRDefault="006F5325">
            <w:pPr>
              <w:keepNext/>
              <w:keepLines/>
              <w:rPr>
                <w:sz w:val="14"/>
                <w:szCs w:val="14"/>
              </w:rPr>
            </w:pPr>
          </w:p>
        </w:tc>
      </w:tr>
      <w:tr w:rsidR="006F5325" w14:paraId="01A9CECF" w14:textId="77777777">
        <w:tc>
          <w:tcPr>
            <w:tcW w:w="2444" w:type="pct"/>
            <w:tcBorders>
              <w:top w:val="nil"/>
              <w:left w:val="nil"/>
              <w:bottom w:val="nil"/>
              <w:right w:val="nil"/>
            </w:tcBorders>
            <w:shd w:val="clear" w:color="auto" w:fill="auto"/>
            <w:tcMar>
              <w:top w:w="0" w:type="dxa"/>
              <w:left w:w="0" w:type="dxa"/>
              <w:bottom w:w="0" w:type="dxa"/>
              <w:right w:w="0" w:type="dxa"/>
            </w:tcMar>
          </w:tcPr>
          <w:p w14:paraId="7B51D7B2" w14:textId="77777777" w:rsidR="006F5325"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DCCAEC5" w14:textId="77777777" w:rsidR="006F5325" w:rsidRDefault="006F5325">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0596CA6" w14:textId="77777777" w:rsidR="006F5325" w:rsidRDefault="006F5325">
            <w:pPr>
              <w:keepNext/>
              <w:keepLines/>
              <w:rPr>
                <w:sz w:val="14"/>
                <w:szCs w:val="14"/>
              </w:rPr>
            </w:pPr>
          </w:p>
        </w:tc>
      </w:tr>
      <w:tr w:rsidR="006F5325" w14:paraId="3740BE7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6F9F02" w14:textId="77777777" w:rsidR="006F5325" w:rsidRDefault="00000000">
            <w:pPr>
              <w:keepNext/>
              <w:keepLines/>
              <w:rPr>
                <w:sz w:val="14"/>
                <w:szCs w:val="14"/>
              </w:rPr>
            </w:pPr>
            <w:r>
              <w:rPr>
                <w:noProof/>
                <w:sz w:val="14"/>
                <w:szCs w:val="14"/>
              </w:rPr>
              <w:drawing>
                <wp:inline distT="0" distB="0" distL="0" distR="0" wp14:anchorId="41A22AF4" wp14:editId="0556B21A">
                  <wp:extent cx="13436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73406B3" w14:textId="77777777" w:rsidR="006F5325" w:rsidRDefault="006F5325">
            <w:pPr>
              <w:keepNext/>
              <w:keepLines/>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1F1E091" w14:textId="77777777" w:rsidR="006F5325" w:rsidRDefault="006F5325">
            <w:pPr>
              <w:keepNext/>
              <w:keepLines/>
              <w:rPr>
                <w:sz w:val="17"/>
                <w:szCs w:val="17"/>
              </w:rPr>
            </w:pPr>
          </w:p>
        </w:tc>
      </w:tr>
    </w:tbl>
    <w:p w14:paraId="49D8BADF" w14:textId="77777777" w:rsidR="006F5325"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6F5325" w14:paraId="3F352F07"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1A85D85A" w14:textId="77777777" w:rsidR="006F5325" w:rsidRDefault="00000000">
            <w:pPr>
              <w:spacing w:before="240" w:after="240"/>
              <w:rPr>
                <w:sz w:val="20"/>
                <w:szCs w:val="20"/>
              </w:rPr>
            </w:pPr>
            <w:r>
              <w:rPr>
                <w:b/>
                <w:sz w:val="20"/>
                <w:szCs w:val="20"/>
              </w:rPr>
              <w:lastRenderedPageBreak/>
              <w:t>Über TOTO Europe</w:t>
            </w:r>
          </w:p>
          <w:p w14:paraId="1BC9B848" w14:textId="77777777" w:rsidR="006F5325" w:rsidRDefault="00000000">
            <w:pPr>
              <w:spacing w:before="240" w:after="240"/>
              <w:rPr>
                <w:sz w:val="20"/>
                <w:szCs w:val="20"/>
              </w:rPr>
            </w:pPr>
            <w:r>
              <w:rPr>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r>
            <w:r>
              <w:rPr>
                <w:sz w:val="20"/>
                <w:szCs w:val="20"/>
              </w:rPr>
              <w:br/>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sz w:val="20"/>
                <w:szCs w:val="20"/>
                <w:vertAlign w:val="subscript"/>
              </w:rPr>
              <w:t>2</w:t>
            </w:r>
            <w:r>
              <w:rPr>
                <w:sz w:val="20"/>
                <w:szCs w:val="20"/>
              </w:rPr>
              <w:t xml:space="preserve">-neutral zu werden, vor allem durch die konsequente Nutzung erneuerbarer Energien. Im Einklang mit den Zielen des Pariser Klimaabkommens erhielt TOTO 2021 die Zertifizierung der </w:t>
            </w:r>
            <w:hyperlink r:id="rId15">
              <w:r w:rsidR="006F5325">
                <w:rPr>
                  <w:rStyle w:val="Hyperlink"/>
                  <w:color w:val="000000"/>
                  <w:sz w:val="20"/>
                  <w:szCs w:val="20"/>
                </w:rPr>
                <w:t>Science Based Targets</w:t>
              </w:r>
            </w:hyperlink>
            <w:r>
              <w:rPr>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Id16">
              <w:r w:rsidR="006F5325">
                <w:rPr>
                  <w:rStyle w:val="Hyperlink"/>
                  <w:color w:val="000000"/>
                  <w:sz w:val="20"/>
                  <w:szCs w:val="20"/>
                </w:rPr>
                <w:t>Integrated Report 2024</w:t>
              </w:r>
            </w:hyperlink>
            <w:r>
              <w:rPr>
                <w:sz w:val="20"/>
                <w:szCs w:val="20"/>
              </w:rPr>
              <w:t>.</w:t>
            </w:r>
          </w:p>
          <w:p w14:paraId="24AF75DA" w14:textId="77777777" w:rsidR="006F5325" w:rsidRDefault="00000000">
            <w:pPr>
              <w:spacing w:before="240" w:after="240"/>
              <w:rPr>
                <w:sz w:val="20"/>
                <w:szCs w:val="20"/>
              </w:rPr>
            </w:pPr>
            <w:r>
              <w:rPr>
                <w:sz w:val="20"/>
                <w:szCs w:val="20"/>
              </w:rPr>
              <w:t xml:space="preserve">Mehr über TOTO: </w:t>
            </w:r>
            <w:hyperlink r:id="rId17">
              <w:r w:rsidR="006F5325">
                <w:rPr>
                  <w:rStyle w:val="Hyperlink"/>
                  <w:color w:val="000000"/>
                  <w:sz w:val="20"/>
                  <w:szCs w:val="20"/>
                </w:rPr>
                <w:t>eu.toto.com</w:t>
              </w:r>
            </w:hyperlink>
          </w:p>
          <w:p w14:paraId="7A4901E9" w14:textId="77777777" w:rsidR="006F5325"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5DDB400E" w14:textId="77777777" w:rsidR="006F5325" w:rsidRDefault="00000000">
            <w:pPr>
              <w:rPr>
                <w:sz w:val="20"/>
                <w:szCs w:val="20"/>
              </w:rPr>
            </w:pPr>
            <w:r>
              <w:rPr>
                <w:sz w:val="20"/>
                <w:szCs w:val="20"/>
              </w:rPr>
              <w:br/>
            </w:r>
          </w:p>
        </w:tc>
      </w:tr>
      <w:tr w:rsidR="006F5325" w14:paraId="0BD717C3"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765A067E" w14:textId="77777777" w:rsidR="006F5325" w:rsidRDefault="006F5325">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76B7FFA3" w14:textId="77777777" w:rsidR="006F5325" w:rsidRDefault="006F5325">
            <w:pPr>
              <w:rPr>
                <w:sz w:val="20"/>
                <w:szCs w:val="20"/>
              </w:rPr>
            </w:pPr>
          </w:p>
        </w:tc>
      </w:tr>
    </w:tbl>
    <w:p w14:paraId="55B75DF1" w14:textId="77777777" w:rsidR="006F5325" w:rsidRDefault="006F5325"/>
    <w:sectPr w:rsidR="006F5325">
      <w:headerReference w:type="default" r:id="rId18"/>
      <w:footerReference w:type="default" r:id="rId19"/>
      <w:headerReference w:type="first" r:id="rId20"/>
      <w:footerReference w:type="first" r:id="rId21"/>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C052B" w14:textId="77777777" w:rsidR="00154718" w:rsidRDefault="00154718">
      <w:pPr>
        <w:spacing w:line="240" w:lineRule="auto"/>
      </w:pPr>
      <w:r>
        <w:separator/>
      </w:r>
    </w:p>
  </w:endnote>
  <w:endnote w:type="continuationSeparator" w:id="0">
    <w:p w14:paraId="0E3879AE" w14:textId="77777777" w:rsidR="00154718" w:rsidRDefault="00154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6F5325" w14:paraId="2051ABA1"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6F5325" w:rsidRPr="00F0783F" w14:paraId="6D1ACEC7" w14:textId="77777777">
            <w:trPr>
              <w:tblCellSpacing w:w="0" w:type="dxa"/>
            </w:trPr>
            <w:tc>
              <w:tcPr>
                <w:tcW w:w="15" w:type="dxa"/>
                <w:tcBorders>
                  <w:left w:val="single" w:sz="6" w:space="0" w:color="000000"/>
                </w:tcBorders>
                <w:shd w:val="clear" w:color="auto" w:fill="FFFFFF"/>
                <w:vAlign w:val="center"/>
                <w:hideMark/>
              </w:tcPr>
              <w:p w14:paraId="0706187F"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FE67138" w14:textId="77777777" w:rsidR="006F5325" w:rsidRDefault="00000000">
                <w:pPr>
                  <w:rPr>
                    <w:sz w:val="10"/>
                    <w:szCs w:val="10"/>
                  </w:rPr>
                </w:pPr>
                <w:r>
                  <w:rPr>
                    <w:sz w:val="10"/>
                    <w:szCs w:val="10"/>
                  </w:rPr>
                  <w:t> </w:t>
                </w:r>
              </w:p>
            </w:tc>
            <w:tc>
              <w:tcPr>
                <w:tcW w:w="850" w:type="pct"/>
                <w:vAlign w:val="center"/>
                <w:hideMark/>
              </w:tcPr>
              <w:p w14:paraId="169223D9" w14:textId="77777777" w:rsidR="006F5325"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7F75FFA3"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CDD1F2D" w14:textId="77777777" w:rsidR="006F5325" w:rsidRDefault="00000000">
                <w:pPr>
                  <w:rPr>
                    <w:sz w:val="10"/>
                    <w:szCs w:val="10"/>
                  </w:rPr>
                </w:pPr>
                <w:r>
                  <w:rPr>
                    <w:sz w:val="10"/>
                    <w:szCs w:val="10"/>
                  </w:rPr>
                  <w:t> </w:t>
                </w:r>
              </w:p>
            </w:tc>
            <w:tc>
              <w:tcPr>
                <w:tcW w:w="850" w:type="pct"/>
                <w:vAlign w:val="center"/>
                <w:hideMark/>
              </w:tcPr>
              <w:p w14:paraId="7A01F110" w14:textId="77777777" w:rsidR="006F5325"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3789EC6C"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13FBD95" w14:textId="77777777" w:rsidR="006F5325" w:rsidRDefault="00000000">
                <w:pPr>
                  <w:rPr>
                    <w:sz w:val="10"/>
                    <w:szCs w:val="10"/>
                  </w:rPr>
                </w:pPr>
                <w:r>
                  <w:rPr>
                    <w:sz w:val="10"/>
                    <w:szCs w:val="10"/>
                  </w:rPr>
                  <w:t> </w:t>
                </w:r>
              </w:p>
            </w:tc>
            <w:tc>
              <w:tcPr>
                <w:tcW w:w="1150" w:type="pct"/>
                <w:vAlign w:val="center"/>
                <w:hideMark/>
              </w:tcPr>
              <w:p w14:paraId="4558C882" w14:textId="77777777" w:rsidR="006F5325"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7A10F2B9"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773C98B1" w14:textId="77777777" w:rsidR="006F5325" w:rsidRDefault="00000000">
                <w:pPr>
                  <w:rPr>
                    <w:sz w:val="10"/>
                    <w:szCs w:val="10"/>
                  </w:rPr>
                </w:pPr>
                <w:r>
                  <w:rPr>
                    <w:sz w:val="10"/>
                    <w:szCs w:val="10"/>
                  </w:rPr>
                  <w:t> </w:t>
                </w:r>
              </w:p>
            </w:tc>
            <w:tc>
              <w:tcPr>
                <w:tcW w:w="1050" w:type="pct"/>
                <w:vAlign w:val="center"/>
                <w:hideMark/>
              </w:tcPr>
              <w:p w14:paraId="6ABAB74F" w14:textId="77777777" w:rsidR="006F5325" w:rsidRDefault="00000000">
                <w:pPr>
                  <w:rPr>
                    <w:sz w:val="10"/>
                    <w:szCs w:val="10"/>
                  </w:rPr>
                </w:pPr>
                <w:r>
                  <w:rPr>
                    <w:sz w:val="10"/>
                    <w:szCs w:val="10"/>
                  </w:rPr>
                  <w:t>AG Düsseldorf . HRB 24827</w:t>
                </w:r>
                <w:r>
                  <w:rPr>
                    <w:sz w:val="10"/>
                    <w:szCs w:val="10"/>
                  </w:rPr>
                  <w:br/>
                  <w:t>Managing Directors:</w:t>
                </w:r>
                <w:r>
                  <w:rPr>
                    <w:sz w:val="10"/>
                    <w:szCs w:val="10"/>
                  </w:rPr>
                  <w:br/>
                  <w:t>Shinya Tamura, Tatsuhiko Yasaka</w:t>
                </w:r>
                <w:r>
                  <w:rPr>
                    <w:sz w:val="10"/>
                    <w:szCs w:val="10"/>
                  </w:rPr>
                  <w:br/>
                  <w:t>  </w:t>
                </w:r>
              </w:p>
            </w:tc>
            <w:tc>
              <w:tcPr>
                <w:tcW w:w="15" w:type="dxa"/>
                <w:tcBorders>
                  <w:left w:val="single" w:sz="6" w:space="0" w:color="000000"/>
                </w:tcBorders>
                <w:shd w:val="clear" w:color="auto" w:fill="FFFFFF"/>
                <w:vAlign w:val="center"/>
                <w:hideMark/>
              </w:tcPr>
              <w:p w14:paraId="18173907"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DF38787" w14:textId="77777777" w:rsidR="006F5325" w:rsidRDefault="00000000">
                <w:pPr>
                  <w:rPr>
                    <w:sz w:val="10"/>
                    <w:szCs w:val="10"/>
                  </w:rPr>
                </w:pPr>
                <w:r>
                  <w:rPr>
                    <w:sz w:val="10"/>
                    <w:szCs w:val="10"/>
                  </w:rPr>
                  <w:t> </w:t>
                </w:r>
              </w:p>
            </w:tc>
            <w:tc>
              <w:tcPr>
                <w:tcW w:w="850" w:type="pct"/>
                <w:vAlign w:val="center"/>
                <w:hideMark/>
              </w:tcPr>
              <w:p w14:paraId="12A3128C" w14:textId="77777777" w:rsidR="006F5325" w:rsidRPr="00947CBB" w:rsidRDefault="00000000">
                <w:pPr>
                  <w:rPr>
                    <w:sz w:val="10"/>
                    <w:szCs w:val="10"/>
                    <w:lang w:val="en-US"/>
                  </w:rPr>
                </w:pPr>
                <w:r w:rsidRPr="00947CBB">
                  <w:rPr>
                    <w:sz w:val="10"/>
                    <w:szCs w:val="10"/>
                    <w:lang w:val="en-US"/>
                  </w:rPr>
                  <w:t>WEEE-Reg.-Nr. DE 88787165</w:t>
                </w:r>
                <w:r w:rsidRPr="00947CBB">
                  <w:rPr>
                    <w:sz w:val="10"/>
                    <w:szCs w:val="10"/>
                    <w:lang w:val="en-US"/>
                  </w:rPr>
                  <w:br/>
                  <w:t>USTID-NR: DE258501442</w:t>
                </w:r>
                <w:r w:rsidRPr="00947CBB">
                  <w:rPr>
                    <w:sz w:val="10"/>
                    <w:szCs w:val="10"/>
                    <w:lang w:val="en-US"/>
                  </w:rPr>
                  <w:br/>
                  <w:t>ST-NR: 106/5727/1323</w:t>
                </w:r>
                <w:r w:rsidRPr="00947CBB">
                  <w:rPr>
                    <w:sz w:val="10"/>
                    <w:szCs w:val="10"/>
                    <w:lang w:val="en-US"/>
                  </w:rPr>
                  <w:br/>
                  <w:t>  </w:t>
                </w:r>
              </w:p>
            </w:tc>
            <w:tc>
              <w:tcPr>
                <w:tcW w:w="28" w:type="dxa"/>
                <w:vAlign w:val="center"/>
                <w:hideMark/>
              </w:tcPr>
              <w:p w14:paraId="150B49CC" w14:textId="77777777" w:rsidR="006F5325" w:rsidRPr="00947CBB" w:rsidRDefault="00000000">
                <w:pPr>
                  <w:rPr>
                    <w:sz w:val="10"/>
                    <w:szCs w:val="10"/>
                    <w:lang w:val="en-US"/>
                  </w:rPr>
                </w:pPr>
                <w:r w:rsidRPr="00947CBB">
                  <w:rPr>
                    <w:sz w:val="10"/>
                    <w:szCs w:val="10"/>
                    <w:lang w:val="en-US"/>
                  </w:rPr>
                  <w:t> </w:t>
                </w:r>
              </w:p>
            </w:tc>
          </w:tr>
        </w:tbl>
        <w:p w14:paraId="387BA6EC" w14:textId="77777777" w:rsidR="006F5325" w:rsidRPr="00947CBB" w:rsidRDefault="006F5325">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ABF84AC" w14:textId="77777777" w:rsidR="006F5325"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7831FDC0" w14:textId="77777777" w:rsidR="006F5325" w:rsidRDefault="006F532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F5325" w:rsidRPr="00F0783F" w14:paraId="2D21532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6F5325" w:rsidRPr="00F0783F" w14:paraId="24632AE0" w14:textId="77777777">
            <w:trPr>
              <w:tblCellSpacing w:w="0" w:type="dxa"/>
            </w:trPr>
            <w:tc>
              <w:tcPr>
                <w:tcW w:w="15" w:type="dxa"/>
                <w:tcBorders>
                  <w:left w:val="single" w:sz="6" w:space="0" w:color="000000"/>
                </w:tcBorders>
                <w:shd w:val="clear" w:color="auto" w:fill="FFFFFF"/>
                <w:vAlign w:val="center"/>
                <w:hideMark/>
              </w:tcPr>
              <w:p w14:paraId="73430444"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6D078A9A" w14:textId="77777777" w:rsidR="006F5325" w:rsidRDefault="00000000">
                <w:pPr>
                  <w:rPr>
                    <w:sz w:val="10"/>
                    <w:szCs w:val="10"/>
                  </w:rPr>
                </w:pPr>
                <w:r>
                  <w:rPr>
                    <w:sz w:val="10"/>
                    <w:szCs w:val="10"/>
                  </w:rPr>
                  <w:t> </w:t>
                </w:r>
              </w:p>
            </w:tc>
            <w:tc>
              <w:tcPr>
                <w:tcW w:w="850" w:type="pct"/>
                <w:vAlign w:val="center"/>
                <w:hideMark/>
              </w:tcPr>
              <w:p w14:paraId="555D3758" w14:textId="77777777" w:rsidR="006F5325"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14:paraId="74211F7B"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5C19CD5" w14:textId="77777777" w:rsidR="006F5325" w:rsidRDefault="00000000">
                <w:pPr>
                  <w:rPr>
                    <w:sz w:val="10"/>
                    <w:szCs w:val="10"/>
                  </w:rPr>
                </w:pPr>
                <w:r>
                  <w:rPr>
                    <w:sz w:val="10"/>
                    <w:szCs w:val="10"/>
                  </w:rPr>
                  <w:t> </w:t>
                </w:r>
              </w:p>
            </w:tc>
            <w:tc>
              <w:tcPr>
                <w:tcW w:w="850" w:type="pct"/>
                <w:vAlign w:val="center"/>
                <w:hideMark/>
              </w:tcPr>
              <w:p w14:paraId="5FAA67A0" w14:textId="77777777" w:rsidR="006F5325"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14:paraId="27565392"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5D0D7D7" w14:textId="77777777" w:rsidR="006F5325" w:rsidRDefault="00000000">
                <w:pPr>
                  <w:rPr>
                    <w:sz w:val="10"/>
                    <w:szCs w:val="10"/>
                  </w:rPr>
                </w:pPr>
                <w:r>
                  <w:rPr>
                    <w:sz w:val="10"/>
                    <w:szCs w:val="10"/>
                  </w:rPr>
                  <w:t> </w:t>
                </w:r>
              </w:p>
            </w:tc>
            <w:tc>
              <w:tcPr>
                <w:tcW w:w="1150" w:type="pct"/>
                <w:vAlign w:val="center"/>
                <w:hideMark/>
              </w:tcPr>
              <w:p w14:paraId="27F517BE" w14:textId="77777777" w:rsidR="006F5325" w:rsidRDefault="00000000">
                <w:pPr>
                  <w:rPr>
                    <w:sz w:val="10"/>
                    <w:szCs w:val="10"/>
                  </w:rPr>
                </w:pPr>
                <w:r>
                  <w:rPr>
                    <w:sz w:val="10"/>
                    <w:szCs w:val="10"/>
                  </w:rPr>
                  <w:t>Commerzbank AG Essen</w:t>
                </w:r>
                <w:r>
                  <w:rPr>
                    <w:sz w:val="10"/>
                    <w:szCs w:val="10"/>
                  </w:rPr>
                  <w:br/>
                  <w:t>BLZ: 360 400 39 .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14:paraId="009C9630"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123A71D4" w14:textId="77777777" w:rsidR="006F5325" w:rsidRDefault="00000000">
                <w:pPr>
                  <w:rPr>
                    <w:sz w:val="10"/>
                    <w:szCs w:val="10"/>
                  </w:rPr>
                </w:pPr>
                <w:r>
                  <w:rPr>
                    <w:sz w:val="10"/>
                    <w:szCs w:val="10"/>
                  </w:rPr>
                  <w:t> </w:t>
                </w:r>
              </w:p>
            </w:tc>
            <w:tc>
              <w:tcPr>
                <w:tcW w:w="1050" w:type="pct"/>
                <w:vAlign w:val="center"/>
                <w:hideMark/>
              </w:tcPr>
              <w:p w14:paraId="672D82F1" w14:textId="77777777" w:rsidR="006F5325" w:rsidRDefault="00000000">
                <w:pPr>
                  <w:rPr>
                    <w:sz w:val="10"/>
                    <w:szCs w:val="10"/>
                  </w:rPr>
                </w:pPr>
                <w:r>
                  <w:rPr>
                    <w:sz w:val="10"/>
                    <w:szCs w:val="10"/>
                  </w:rPr>
                  <w:t>AG Düsseldorf . HRB 24827</w:t>
                </w:r>
                <w:r>
                  <w:rPr>
                    <w:sz w:val="10"/>
                    <w:szCs w:val="10"/>
                  </w:rPr>
                  <w:br/>
                  <w:t>Managing Directors:</w:t>
                </w:r>
                <w:r>
                  <w:rPr>
                    <w:sz w:val="10"/>
                    <w:szCs w:val="10"/>
                  </w:rPr>
                  <w:br/>
                  <w:t>Shinya Tamura, Tatsuhiko Yasaka</w:t>
                </w:r>
              </w:p>
            </w:tc>
            <w:tc>
              <w:tcPr>
                <w:tcW w:w="15" w:type="dxa"/>
                <w:tcBorders>
                  <w:left w:val="single" w:sz="6" w:space="0" w:color="000000"/>
                </w:tcBorders>
                <w:shd w:val="clear" w:color="auto" w:fill="FFFFFF"/>
                <w:vAlign w:val="center"/>
                <w:hideMark/>
              </w:tcPr>
              <w:p w14:paraId="58055458" w14:textId="77777777" w:rsidR="006F5325"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5F818EA1" w14:textId="77777777" w:rsidR="006F5325" w:rsidRDefault="00000000">
                <w:pPr>
                  <w:rPr>
                    <w:sz w:val="10"/>
                    <w:szCs w:val="10"/>
                  </w:rPr>
                </w:pPr>
                <w:r>
                  <w:rPr>
                    <w:sz w:val="10"/>
                    <w:szCs w:val="10"/>
                  </w:rPr>
                  <w:t> </w:t>
                </w:r>
              </w:p>
            </w:tc>
            <w:tc>
              <w:tcPr>
                <w:tcW w:w="850" w:type="pct"/>
                <w:vAlign w:val="center"/>
                <w:hideMark/>
              </w:tcPr>
              <w:p w14:paraId="0849AE74" w14:textId="77777777" w:rsidR="006F5325" w:rsidRPr="00947CBB" w:rsidRDefault="00000000">
                <w:pPr>
                  <w:rPr>
                    <w:sz w:val="10"/>
                    <w:szCs w:val="10"/>
                    <w:lang w:val="en-US"/>
                  </w:rPr>
                </w:pPr>
                <w:r w:rsidRPr="00947CBB">
                  <w:rPr>
                    <w:sz w:val="10"/>
                    <w:szCs w:val="10"/>
                    <w:lang w:val="en-US"/>
                  </w:rPr>
                  <w:t>WEEE-Reg.-Nr. DE 88787165</w:t>
                </w:r>
                <w:r w:rsidRPr="00947CBB">
                  <w:rPr>
                    <w:sz w:val="10"/>
                    <w:szCs w:val="10"/>
                    <w:lang w:val="en-US"/>
                  </w:rPr>
                  <w:br/>
                  <w:t>USTID-NR: DE258501442</w:t>
                </w:r>
                <w:r w:rsidRPr="00947CBB">
                  <w:rPr>
                    <w:sz w:val="10"/>
                    <w:szCs w:val="10"/>
                    <w:lang w:val="en-US"/>
                  </w:rPr>
                  <w:br/>
                  <w:t>ST-NR: 106/5727/1323</w:t>
                </w:r>
                <w:r w:rsidRPr="00947CBB">
                  <w:rPr>
                    <w:sz w:val="10"/>
                    <w:szCs w:val="10"/>
                    <w:lang w:val="en-US"/>
                  </w:rPr>
                  <w:br/>
                  <w:t>  </w:t>
                </w:r>
              </w:p>
            </w:tc>
            <w:tc>
              <w:tcPr>
                <w:tcW w:w="28" w:type="dxa"/>
                <w:vAlign w:val="center"/>
                <w:hideMark/>
              </w:tcPr>
              <w:p w14:paraId="0DB64434" w14:textId="77777777" w:rsidR="006F5325" w:rsidRPr="00947CBB" w:rsidRDefault="00000000">
                <w:pPr>
                  <w:rPr>
                    <w:sz w:val="10"/>
                    <w:szCs w:val="10"/>
                    <w:lang w:val="en-US"/>
                  </w:rPr>
                </w:pPr>
                <w:r w:rsidRPr="00947CBB">
                  <w:rPr>
                    <w:sz w:val="10"/>
                    <w:szCs w:val="10"/>
                    <w:lang w:val="en-US"/>
                  </w:rPr>
                  <w:t> </w:t>
                </w:r>
              </w:p>
            </w:tc>
          </w:tr>
        </w:tbl>
        <w:p w14:paraId="0B709EC2" w14:textId="77777777" w:rsidR="006F5325" w:rsidRPr="00947CBB" w:rsidRDefault="006F5325">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A87219C" w14:textId="77777777" w:rsidR="006F5325" w:rsidRPr="00947CBB" w:rsidRDefault="006F5325">
          <w:pPr>
            <w:rPr>
              <w:sz w:val="10"/>
              <w:szCs w:val="10"/>
              <w:lang w:val="en-US"/>
            </w:rPr>
          </w:pPr>
        </w:p>
      </w:tc>
    </w:tr>
  </w:tbl>
  <w:p w14:paraId="72801E8A" w14:textId="77777777" w:rsidR="006F5325" w:rsidRPr="00947CBB" w:rsidRDefault="006F5325">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AD4F7" w14:textId="77777777" w:rsidR="00154718" w:rsidRDefault="00154718">
      <w:pPr>
        <w:spacing w:line="240" w:lineRule="auto"/>
      </w:pPr>
      <w:r>
        <w:separator/>
      </w:r>
    </w:p>
  </w:footnote>
  <w:footnote w:type="continuationSeparator" w:id="0">
    <w:p w14:paraId="7409CBD8" w14:textId="77777777" w:rsidR="00154718" w:rsidRDefault="00154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9D7D" w14:textId="77777777" w:rsidR="006F5325" w:rsidRDefault="00000000">
    <w:r>
      <w:rPr>
        <w:noProof/>
      </w:rPr>
      <w:drawing>
        <wp:anchor distT="0" distB="0" distL="114300" distR="114300" simplePos="0" relativeHeight="251659264" behindDoc="0" locked="0" layoutInCell="0" allowOverlap="0" wp14:anchorId="5D84848C" wp14:editId="3FDDD18A">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3C37" w14:textId="77777777" w:rsidR="006F5325" w:rsidRDefault="00000000">
    <w:pPr>
      <w:rPr>
        <w:color w:val="343434"/>
      </w:rPr>
    </w:pPr>
    <w:r>
      <w:rPr>
        <w:noProof/>
        <w:color w:val="343434"/>
      </w:rPr>
      <w:drawing>
        <wp:anchor distT="0" distB="0" distL="114300" distR="114300" simplePos="0" relativeHeight="251658240" behindDoc="0" locked="0" layoutInCell="0" allowOverlap="0" wp14:anchorId="3BBC7D70" wp14:editId="49251784">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325"/>
    <w:rsid w:val="0011237A"/>
    <w:rsid w:val="00154718"/>
    <w:rsid w:val="002873C0"/>
    <w:rsid w:val="006F5325"/>
    <w:rsid w:val="008545CC"/>
    <w:rsid w:val="00947CBB"/>
    <w:rsid w:val="00A8505B"/>
    <w:rsid w:val="00AE2E0B"/>
    <w:rsid w:val="00D24873"/>
    <w:rsid w:val="00F0783F"/>
    <w:rsid w:val="00F36CE5"/>
    <w:rsid w:val="00F847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6287360"/>
  <w15:docId w15:val="{866AC15E-6936-584C-AC89-DCAA2675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hyperlink" Target="https://eu.toto.com/de" TargetMode="External"/><Relationship Id="rId2" Type="http://schemas.openxmlformats.org/officeDocument/2006/relationships/settings" Target="settings.xml"/><Relationship Id="rId16" Type="http://schemas.openxmlformats.org/officeDocument/2006/relationships/hyperlink" Target="https://jp.toto.com/assets/files/report2024_data_en.pdf"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s://sciencebasedtargets.org/about-us"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6471</Characters>
  <Application>Microsoft Office Word</Application>
  <DocSecurity>0</DocSecurity>
  <Lines>53</Lines>
  <Paragraphs>14</Paragraphs>
  <ScaleCrop>false</ScaleCrop>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cp:lastPrinted>2025-02-05T15:57:00Z</cp:lastPrinted>
  <dcterms:created xsi:type="dcterms:W3CDTF">2025-02-07T09:01:00Z</dcterms:created>
  <dcterms:modified xsi:type="dcterms:W3CDTF">2025-02-07T09:01:00Z</dcterms:modified>
</cp:coreProperties>
</file>