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E96057" w:rsidRDefault="00000000">
      <w:pPr>
        <w:rPr>
          <w:rFonts w:eastAsia="Arial"/>
          <w:sz w:val="8"/>
          <w:szCs w:val="8"/>
        </w:rPr>
      </w:pPr>
      <w:r>
        <w:rPr>
          <w:b/>
          <w:bCs/>
          <w:sz w:val="32"/>
          <w:szCs w:val="32"/>
        </w:rPr>
        <w:t>Markantes Markenzeichen</w:t>
      </w:r>
      <w:r>
        <w:rPr>
          <w:b/>
          <w:bCs/>
          <w:sz w:val="32"/>
          <w:szCs w:val="32"/>
        </w:rPr>
        <w:br/>
      </w:r>
      <w:r>
        <w:rPr>
          <w:rFonts w:eastAsia="Arial"/>
        </w:rPr>
        <w:t xml:space="preserve">In Nürnberg entsteht ein neuer Universitätscampus. Das erste Gebäude, der sogenannte Cube </w:t>
      </w:r>
      <w:proofErr w:type="spellStart"/>
      <w:r>
        <w:rPr>
          <w:rFonts w:eastAsia="Arial"/>
        </w:rPr>
        <w:t>One</w:t>
      </w:r>
      <w:proofErr w:type="spellEnd"/>
      <w:r>
        <w:rPr>
          <w:rFonts w:eastAsia="Arial"/>
        </w:rPr>
        <w:t xml:space="preserve">, stammt von </w:t>
      </w:r>
      <w:proofErr w:type="spellStart"/>
      <w:r>
        <w:rPr>
          <w:rFonts w:eastAsia="Arial"/>
        </w:rPr>
        <w:t>a+r</w:t>
      </w:r>
      <w:proofErr w:type="spellEnd"/>
      <w:r>
        <w:rPr>
          <w:rFonts w:eastAsia="Arial"/>
        </w:rPr>
        <w:t xml:space="preserve"> Architekten.</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E9605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rsidR="00E96057" w:rsidRDefault="00000000">
            <w:pPr>
              <w:rPr>
                <w:sz w:val="18"/>
                <w:szCs w:val="18"/>
              </w:rPr>
            </w:pPr>
            <w:r>
              <w:rPr>
                <w:noProof/>
                <w:sz w:val="18"/>
                <w:szCs w:val="18"/>
              </w:rPr>
              <w:drawing>
                <wp:inline distT="0" distB="0" distL="0" distR="0">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6"/>
                          <a:srcRect/>
                          <a:stretch>
                            <a:fillRect/>
                          </a:stretch>
                        </pic:blipFill>
                        <pic:spPr>
                          <a:xfrm>
                            <a:off x="0" y="0"/>
                            <a:ext cx="3995420" cy="2663825"/>
                          </a:xfrm>
                          <a:prstGeom prst="rect">
                            <a:avLst/>
                          </a:prstGeom>
                        </pic:spPr>
                      </pic:pic>
                    </a:graphicData>
                  </a:graphic>
                </wp:inline>
              </w:drawing>
            </w:r>
          </w:p>
        </w:tc>
      </w:tr>
    </w:tbl>
    <w:p w:rsidR="00E96057" w:rsidRDefault="00000000">
      <w:pPr>
        <w:rPr>
          <w:sz w:val="8"/>
          <w:szCs w:val="8"/>
        </w:rPr>
      </w:pPr>
      <w:r>
        <w:rPr>
          <w:sz w:val="8"/>
          <w:szCs w:val="8"/>
        </w:rPr>
        <w:br/>
      </w:r>
    </w:p>
    <w:tbl>
      <w:tblPr>
        <w:tblStyle w:val="TabelleEinfach1"/>
        <w:tblW w:w="5000" w:type="pct"/>
        <w:tblLayout w:type="fixed"/>
        <w:tblCellMar>
          <w:left w:w="0" w:type="dxa"/>
          <w:right w:w="227" w:type="dxa"/>
        </w:tblCellMar>
        <w:tblLook w:val="04A0" w:firstRow="1" w:lastRow="0" w:firstColumn="1" w:lastColumn="0" w:noHBand="0" w:noVBand="1"/>
      </w:tblPr>
      <w:tblGrid>
        <w:gridCol w:w="7412"/>
        <w:gridCol w:w="2340"/>
      </w:tblGrid>
      <w:tr w:rsidR="00E96057">
        <w:tc>
          <w:tcPr>
            <w:tcW w:w="3800" w:type="pct"/>
            <w:tcBorders>
              <w:top w:val="nil"/>
              <w:left w:val="nil"/>
              <w:bottom w:val="nil"/>
              <w:right w:val="nil"/>
            </w:tcBorders>
            <w:shd w:val="clear" w:color="auto" w:fill="auto"/>
            <w:tcMar>
              <w:top w:w="0" w:type="dxa"/>
              <w:left w:w="0" w:type="dxa"/>
              <w:bottom w:w="0" w:type="dxa"/>
              <w:right w:w="227" w:type="dxa"/>
            </w:tcMar>
          </w:tcPr>
          <w:p w:rsidR="00E96057" w:rsidRDefault="00000000">
            <w:pPr>
              <w:spacing w:after="240"/>
              <w:rPr>
                <w:sz w:val="20"/>
                <w:szCs w:val="20"/>
              </w:rPr>
            </w:pPr>
            <w:r>
              <w:rPr>
                <w:i/>
                <w:sz w:val="20"/>
                <w:szCs w:val="20"/>
              </w:rPr>
              <w:t xml:space="preserve">Innovativ und nachhaltig mit flexiblen Nutzungsmöglichkeiten präsentiert sich das sechsgeschossige Büro- und Verwaltungsgebäude, das den städtebaulichen Auftakt für den neu entstehenden Campus „University </w:t>
            </w:r>
            <w:proofErr w:type="spellStart"/>
            <w:r>
              <w:rPr>
                <w:i/>
                <w:sz w:val="20"/>
                <w:szCs w:val="20"/>
              </w:rPr>
              <w:t>of</w:t>
            </w:r>
            <w:proofErr w:type="spellEnd"/>
            <w:r>
              <w:rPr>
                <w:i/>
                <w:sz w:val="20"/>
                <w:szCs w:val="20"/>
              </w:rPr>
              <w:t xml:space="preserve"> Technology Nürnberg“ (UTN) bildet. „Cube </w:t>
            </w:r>
            <w:proofErr w:type="spellStart"/>
            <w:r>
              <w:rPr>
                <w:i/>
                <w:sz w:val="20"/>
                <w:szCs w:val="20"/>
              </w:rPr>
              <w:t>One</w:t>
            </w:r>
            <w:proofErr w:type="spellEnd"/>
            <w:r>
              <w:rPr>
                <w:i/>
                <w:sz w:val="20"/>
                <w:szCs w:val="20"/>
              </w:rPr>
              <w:t xml:space="preserve">“ aus der Entwurfsfeder von </w:t>
            </w:r>
            <w:proofErr w:type="spellStart"/>
            <w:r>
              <w:rPr>
                <w:i/>
                <w:sz w:val="20"/>
                <w:szCs w:val="20"/>
              </w:rPr>
              <w:t>a+r</w:t>
            </w:r>
            <w:proofErr w:type="spellEnd"/>
            <w:r>
              <w:rPr>
                <w:i/>
                <w:sz w:val="20"/>
                <w:szCs w:val="20"/>
              </w:rPr>
              <w:t xml:space="preserve"> Architekten ist ein identitätsstiftendes Statement und ein Vorgeschmack auf das, was noch auf dem Campus entstehen wird.</w:t>
            </w:r>
          </w:p>
          <w:p w:rsidR="00E96057" w:rsidRDefault="00000000">
            <w:pPr>
              <w:spacing w:after="240"/>
              <w:rPr>
                <w:sz w:val="20"/>
                <w:szCs w:val="20"/>
              </w:rPr>
            </w:pPr>
            <w:r>
              <w:rPr>
                <w:sz w:val="20"/>
                <w:szCs w:val="20"/>
              </w:rPr>
              <w:t xml:space="preserve">Auf dem Gelände des ehemaligen Südbahnhofs, an der </w:t>
            </w:r>
            <w:proofErr w:type="spellStart"/>
            <w:r>
              <w:rPr>
                <w:sz w:val="20"/>
                <w:szCs w:val="20"/>
              </w:rPr>
              <w:t>Brunecker</w:t>
            </w:r>
            <w:proofErr w:type="spellEnd"/>
            <w:r>
              <w:rPr>
                <w:sz w:val="20"/>
                <w:szCs w:val="20"/>
              </w:rPr>
              <w:t xml:space="preserve"> Straße und in unmittelbarer Nähe zum neuen Wohngebiet </w:t>
            </w:r>
            <w:proofErr w:type="spellStart"/>
            <w:r>
              <w:rPr>
                <w:sz w:val="20"/>
                <w:szCs w:val="20"/>
              </w:rPr>
              <w:t>Lichtenreuth</w:t>
            </w:r>
            <w:proofErr w:type="spellEnd"/>
            <w:r>
              <w:rPr>
                <w:sz w:val="20"/>
                <w:szCs w:val="20"/>
              </w:rPr>
              <w:t xml:space="preserve">, entsteht auf rund 37 Hektar der Universitätscampus der UTN. Der Neubau „Cube </w:t>
            </w:r>
            <w:proofErr w:type="spellStart"/>
            <w:r>
              <w:rPr>
                <w:sz w:val="20"/>
                <w:szCs w:val="20"/>
              </w:rPr>
              <w:t>One</w:t>
            </w:r>
            <w:proofErr w:type="spellEnd"/>
            <w:r>
              <w:rPr>
                <w:sz w:val="20"/>
                <w:szCs w:val="20"/>
              </w:rPr>
              <w:t xml:space="preserve">“ orientiert sich am Masterplan des Architekturbüros Ferdinand Heide, um sich in die langfristige Campus-Entwicklung einzufügen und ermöglicht durch seine Positionierung eine schrittweise Erweiterung nach Westen sowie Raum für ein zusätzliches Gebäude im Osten. „Cube </w:t>
            </w:r>
            <w:proofErr w:type="spellStart"/>
            <w:r>
              <w:rPr>
                <w:sz w:val="20"/>
                <w:szCs w:val="20"/>
              </w:rPr>
              <w:t>One</w:t>
            </w:r>
            <w:proofErr w:type="spellEnd"/>
            <w:r>
              <w:rPr>
                <w:sz w:val="20"/>
                <w:szCs w:val="20"/>
              </w:rPr>
              <w:t>" bietet mit 4.270 m² Nutzfläche Platz für rund 120 Mitarbeitende.</w:t>
            </w:r>
          </w:p>
          <w:p w:rsidR="00E96057" w:rsidRDefault="00000000">
            <w:pPr>
              <w:spacing w:after="240"/>
              <w:rPr>
                <w:sz w:val="20"/>
                <w:szCs w:val="20"/>
              </w:rPr>
            </w:pPr>
            <w:r>
              <w:rPr>
                <w:b/>
                <w:sz w:val="20"/>
                <w:szCs w:val="20"/>
              </w:rPr>
              <w:t>Nachhaltige Vorfertigung</w:t>
            </w:r>
          </w:p>
          <w:p w:rsidR="00E96057" w:rsidRDefault="00000000">
            <w:pPr>
              <w:spacing w:after="240"/>
              <w:rPr>
                <w:sz w:val="20"/>
                <w:szCs w:val="20"/>
              </w:rPr>
            </w:pPr>
            <w:r>
              <w:rPr>
                <w:sz w:val="20"/>
                <w:szCs w:val="20"/>
              </w:rPr>
              <w:t>Architektonisch verbindet das sechsgeschossige Hybridgebäude im Passivhausstandard Nachhaltigkeit mit innovativem Design. Das Tragwerk kombiniert eine Holzkonstruktion mit einem stabilisierenden Kern aus Recyclingbeton. Photovoltaikmodule auf dem Dach und eine hocheffiziente Lüftungsanlage mit Wärmerückgewinnung sowie die Holzfassade mit vorgelagerter Begrünung runden das nachhaltige Konzept ab.</w:t>
            </w:r>
          </w:p>
          <w:p w:rsidR="00E96057" w:rsidRDefault="00000000">
            <w:pPr>
              <w:spacing w:after="240"/>
              <w:rPr>
                <w:sz w:val="20"/>
                <w:szCs w:val="20"/>
              </w:rPr>
            </w:pPr>
            <w:r>
              <w:rPr>
                <w:sz w:val="20"/>
                <w:szCs w:val="20"/>
              </w:rPr>
              <w:t xml:space="preserve">Das Projekt zeichnet sich durch einen hohen Vorfertigungsgrad aus, was eine besondere Herausforderung bei der Planung des Passivhauses als modulare Holzkonstruktion mit hohem Energiestandard darstellte. Um eine reibungslose Produktion in der Werkhalle zu ermöglichen, mussten alle Details und Übergänge frühzeitig und umfassend mit allen Fachbereichen wie Brandschutz, </w:t>
            </w:r>
            <w:r>
              <w:rPr>
                <w:sz w:val="20"/>
                <w:szCs w:val="20"/>
              </w:rPr>
              <w:lastRenderedPageBreak/>
              <w:t>Bauphysik oder Haustechnik abgestimmt werden. Die Decken und alle Außenwandelemente wurden mit eingebauten Fenstern, Fensterbänken sowie der hölzernen Fassadenschalung und allen erforderlichen Abdichtungsbahnen direkt auf die Baustelle geliefert und dort zeit- und kostensparend montiert.</w:t>
            </w:r>
          </w:p>
          <w:p w:rsidR="00E96057" w:rsidRDefault="00000000">
            <w:pPr>
              <w:spacing w:after="240"/>
              <w:rPr>
                <w:sz w:val="20"/>
                <w:szCs w:val="20"/>
              </w:rPr>
            </w:pPr>
            <w:r>
              <w:rPr>
                <w:b/>
                <w:sz w:val="20"/>
                <w:szCs w:val="20"/>
              </w:rPr>
              <w:t>Flexibel und ressourcenschonend</w:t>
            </w:r>
          </w:p>
          <w:p w:rsidR="00E96057" w:rsidRDefault="00000000">
            <w:pPr>
              <w:spacing w:after="240"/>
              <w:rPr>
                <w:sz w:val="20"/>
                <w:szCs w:val="20"/>
              </w:rPr>
            </w:pPr>
            <w:r>
              <w:rPr>
                <w:sz w:val="20"/>
                <w:szCs w:val="20"/>
              </w:rPr>
              <w:t>Die modulare Bauweise ermöglicht eine hohe Flexibilität und Anpassungsfähigkeit. In jedem Geschoss wurden einzelne Teambereiche zu zusammenhängenden Nutzungseinheiten mit einer Gesamtfläche von bis zu 200 m² geplant. Sie können bei Bedarf räumlich auch wieder verändert werden. Sanitäranlagen, Aufzug und Treppen sind im Erschließungskern aus Beton untergebracht. Zwei geschickt ineinander geschachtelte Treppenhäuser nutzen den Raum effizient und bieten getrennte, gleichwertige Wege ins Freie. Auf ein separates Fluchttreppenhaus konnte verzichtet werden.</w:t>
            </w:r>
          </w:p>
          <w:p w:rsidR="00E96057" w:rsidRDefault="00000000">
            <w:pPr>
              <w:spacing w:after="240"/>
              <w:rPr>
                <w:sz w:val="20"/>
                <w:szCs w:val="20"/>
              </w:rPr>
            </w:pPr>
            <w:r>
              <w:rPr>
                <w:sz w:val="20"/>
                <w:szCs w:val="20"/>
              </w:rPr>
              <w:t>Der Wechsel vom massiven Betonkern zur leichten Holzkonstruktion sorgt für eine klare Orientierung im Inneren: Der Beton ist in einem gedeckten, warmen Grauton gehalten und hebt sich so optisch von der hellen, weißen Holzkonstruktion ab. Die Kombination aus offenen Büros und flexiblen, geschlossenen Räumen ermöglicht durch verglaste Türen eine visuelle Interaktion auf den Etagen. Sozialräume mit Gemeinschaftsküchen an den Schmalseiten des Gebäudes fördern die Kommunikation und schaffen offene Begegnungszonen. Im obersten Geschoss bieten zwei Terrassen mit Pergola und ein großer Besprechungsraum Ausblicke auf den wachsenden Universitätscampus.</w:t>
            </w:r>
          </w:p>
          <w:p w:rsidR="00E96057" w:rsidRDefault="00000000">
            <w:pPr>
              <w:spacing w:after="240"/>
              <w:rPr>
                <w:sz w:val="20"/>
                <w:szCs w:val="20"/>
              </w:rPr>
            </w:pPr>
            <w:r>
              <w:rPr>
                <w:b/>
                <w:sz w:val="20"/>
                <w:szCs w:val="20"/>
              </w:rPr>
              <w:t>Begrünte Fassade par excellence</w:t>
            </w:r>
          </w:p>
          <w:p w:rsidR="00E96057" w:rsidRDefault="00000000">
            <w:pPr>
              <w:spacing w:after="240"/>
              <w:rPr>
                <w:sz w:val="20"/>
                <w:szCs w:val="20"/>
              </w:rPr>
            </w:pPr>
            <w:r>
              <w:rPr>
                <w:sz w:val="20"/>
                <w:szCs w:val="20"/>
              </w:rPr>
              <w:t>Die innere Struktur des Gebäudes wird nach außen in der Holzfassade sichtbar, die aus offenen und geschlossenen Bereichen besteht. Große Fenster im Querformat sind geschossweise rhythmisch in regelmäßigen Reihen angeordnet. Die tragenden Stützen, die durch breitere Fassadenelemente optisch betont werden, unterstreichen das klare und gegliederte Erscheinungsbild der Fassade.</w:t>
            </w:r>
          </w:p>
          <w:p w:rsidR="00E96057" w:rsidRDefault="00000000">
            <w:pPr>
              <w:spacing w:after="240"/>
              <w:rPr>
                <w:sz w:val="20"/>
                <w:szCs w:val="20"/>
              </w:rPr>
            </w:pPr>
            <w:r>
              <w:rPr>
                <w:sz w:val="20"/>
                <w:szCs w:val="20"/>
              </w:rPr>
              <w:t xml:space="preserve">Besonders hervorzuheben ist die fast 18 Meter hohe, an zwei Seiten frei auskragende Fassadenbegrünung. Hierfür wurde an der leichten Holzfassade mit modernster Technik und höchster Präzision ein stählernes </w:t>
            </w:r>
            <w:proofErr w:type="spellStart"/>
            <w:r>
              <w:rPr>
                <w:sz w:val="20"/>
                <w:szCs w:val="20"/>
              </w:rPr>
              <w:t>Rankgerüst</w:t>
            </w:r>
            <w:proofErr w:type="spellEnd"/>
            <w:r>
              <w:rPr>
                <w:sz w:val="20"/>
                <w:szCs w:val="20"/>
              </w:rPr>
              <w:t xml:space="preserve"> befestigt. Auch die Auswahl der Pflanzen war anspruchsvoll, denn weltweit gibt es nur wenige Arten, die ohne direkten Bodenkontakt diese Höhe erreichen. Die Fassadenbegrünung trägt nicht nur zur Kühlung und Lärmminderung im Sommer bei, sondern bindet auch Feinstaub und verbessert das Mikroklima.</w:t>
            </w:r>
          </w:p>
          <w:p w:rsidR="00E96057" w:rsidRDefault="00000000">
            <w:pPr>
              <w:spacing w:after="240"/>
              <w:rPr>
                <w:sz w:val="20"/>
                <w:szCs w:val="20"/>
              </w:rPr>
            </w:pPr>
            <w:r>
              <w:rPr>
                <w:b/>
                <w:sz w:val="20"/>
                <w:szCs w:val="20"/>
              </w:rPr>
              <w:t>Markenzeichen für die künftige Hochschule</w:t>
            </w:r>
          </w:p>
          <w:p w:rsidR="00E96057" w:rsidRDefault="00000000">
            <w:pPr>
              <w:spacing w:after="240"/>
              <w:rPr>
                <w:sz w:val="20"/>
                <w:szCs w:val="20"/>
              </w:rPr>
            </w:pPr>
            <w:r>
              <w:rPr>
                <w:sz w:val="20"/>
                <w:szCs w:val="20"/>
              </w:rPr>
              <w:t xml:space="preserve">Das UTN-Gebäude setzt nicht nur architektonische, sondern auch ökologische Maßstäbe, indem es nachhaltiges Bauen und innovative Nutzungskonzepte vereint – und damit die Grundlage für die künftige Entwicklung des Campus schafft. „Unser Entwurf zielt darauf ab, eine ausgewogene Lösung für komplexe Anforderungen wie Städtebau, Raumprogramm, Funktionalität, Flächeneffizienz </w:t>
            </w:r>
            <w:r>
              <w:rPr>
                <w:sz w:val="20"/>
                <w:szCs w:val="20"/>
              </w:rPr>
              <w:lastRenderedPageBreak/>
              <w:t>und Ökologie zu schaffen – und das in Form eines wirtschaftlichen, nachhaltigen und zukunftsorientierten Low-Tech-Gebäudes“, betonen die Architekten.</w:t>
            </w:r>
          </w:p>
          <w:p w:rsidR="00E96057" w:rsidRDefault="00000000">
            <w:pPr>
              <w:spacing w:after="240"/>
              <w:rPr>
                <w:sz w:val="20"/>
                <w:szCs w:val="20"/>
              </w:rPr>
            </w:pPr>
            <w:r>
              <w:rPr>
                <w:sz w:val="20"/>
                <w:szCs w:val="20"/>
              </w:rPr>
              <w:t xml:space="preserve">Das Gebäude soll als „markantes Markenzeichen“ der künftigen Hochschule in Nürnberg wahrgenommen werden. Dass dieses Ziel bereits erreicht ist, bestätigt Matthias Franz, Bereichsleiter des Staatlichen Bauamts Erlangen-Nürnberg: „Cube </w:t>
            </w:r>
            <w:proofErr w:type="spellStart"/>
            <w:r>
              <w:rPr>
                <w:sz w:val="20"/>
                <w:szCs w:val="20"/>
              </w:rPr>
              <w:t>One</w:t>
            </w:r>
            <w:proofErr w:type="spellEnd"/>
            <w:r>
              <w:rPr>
                <w:sz w:val="20"/>
                <w:szCs w:val="20"/>
              </w:rPr>
              <w:t xml:space="preserve"> ist wie ein Schaufenster der zukünftigen Campus-Architektur der UTN: nachhaltig, ressourcenschonend, flexibel und elegant.“</w:t>
            </w:r>
          </w:p>
          <w:p w:rsidR="00E96057" w:rsidRDefault="00000000">
            <w:pPr>
              <w:spacing w:after="240"/>
              <w:rPr>
                <w:sz w:val="20"/>
                <w:szCs w:val="20"/>
              </w:rPr>
            </w:pPr>
            <w:r>
              <w:rPr>
                <w:b/>
                <w:sz w:val="20"/>
                <w:szCs w:val="20"/>
              </w:rPr>
              <w:t>Daten und Fakten</w:t>
            </w:r>
          </w:p>
          <w:p w:rsidR="00E96057" w:rsidRDefault="00000000">
            <w:pPr>
              <w:spacing w:after="240"/>
              <w:rPr>
                <w:sz w:val="20"/>
                <w:szCs w:val="20"/>
              </w:rPr>
            </w:pPr>
            <w:r>
              <w:rPr>
                <w:sz w:val="20"/>
                <w:szCs w:val="20"/>
              </w:rPr>
              <w:t xml:space="preserve">Projekt: Verfügungsgebäude der University </w:t>
            </w:r>
            <w:proofErr w:type="spellStart"/>
            <w:r>
              <w:rPr>
                <w:sz w:val="20"/>
                <w:szCs w:val="20"/>
              </w:rPr>
              <w:t>of</w:t>
            </w:r>
            <w:proofErr w:type="spellEnd"/>
            <w:r>
              <w:rPr>
                <w:sz w:val="20"/>
                <w:szCs w:val="20"/>
              </w:rPr>
              <w:t xml:space="preserve"> Technology Nürnberg (UTN)</w:t>
            </w:r>
            <w:r>
              <w:rPr>
                <w:sz w:val="20"/>
                <w:szCs w:val="20"/>
              </w:rPr>
              <w:br/>
              <w:t>Bauherr: Staatliches Bauamt Erlangen-Nürnberg</w:t>
            </w:r>
            <w:r>
              <w:rPr>
                <w:sz w:val="20"/>
                <w:szCs w:val="20"/>
              </w:rPr>
              <w:br/>
              <w:t xml:space="preserve">Generalübernehmer: Gustav Epple Bauunternehmung GmbH, </w:t>
            </w:r>
            <w:hyperlink r:id="rId7">
              <w:r>
                <w:rPr>
                  <w:rStyle w:val="Hyperlink"/>
                  <w:color w:val="000000"/>
                  <w:sz w:val="20"/>
                  <w:szCs w:val="20"/>
                </w:rPr>
                <w:t>www.gustav-epple.de</w:t>
              </w:r>
            </w:hyperlink>
            <w:r>
              <w:rPr>
                <w:sz w:val="20"/>
                <w:szCs w:val="20"/>
              </w:rPr>
              <w:br/>
              <w:t xml:space="preserve">Architektur: </w:t>
            </w:r>
            <w:proofErr w:type="spellStart"/>
            <w:r>
              <w:rPr>
                <w:sz w:val="20"/>
                <w:szCs w:val="20"/>
              </w:rPr>
              <w:t>a+r</w:t>
            </w:r>
            <w:proofErr w:type="spellEnd"/>
            <w:r>
              <w:rPr>
                <w:sz w:val="20"/>
                <w:szCs w:val="20"/>
              </w:rPr>
              <w:t xml:space="preserve"> Architekten, Stuttgart/Tübingen, </w:t>
            </w:r>
            <w:hyperlink r:id="rId8">
              <w:r>
                <w:rPr>
                  <w:rStyle w:val="Hyperlink"/>
                  <w:color w:val="000000"/>
                  <w:sz w:val="20"/>
                  <w:szCs w:val="20"/>
                </w:rPr>
                <w:t>www.aplusr.de</w:t>
              </w:r>
            </w:hyperlink>
            <w:r>
              <w:rPr>
                <w:sz w:val="20"/>
                <w:szCs w:val="20"/>
              </w:rPr>
              <w:br/>
              <w:t xml:space="preserve">Tragwerk: Furche Geiger Zimmermann, Wendlingen, </w:t>
            </w:r>
            <w:hyperlink r:id="rId9">
              <w:r>
                <w:rPr>
                  <w:rStyle w:val="Hyperlink"/>
                  <w:color w:val="000000"/>
                  <w:sz w:val="20"/>
                  <w:szCs w:val="20"/>
                </w:rPr>
                <w:t>www.fuzi-tragwerke.de</w:t>
              </w:r>
            </w:hyperlink>
            <w:r>
              <w:rPr>
                <w:sz w:val="20"/>
                <w:szCs w:val="20"/>
              </w:rPr>
              <w:br/>
              <w:t xml:space="preserve">Holzbau: Rubner Holzbau GmbH, Augsburg, </w:t>
            </w:r>
            <w:hyperlink r:id="rId10">
              <w:r>
                <w:rPr>
                  <w:rStyle w:val="Hyperlink"/>
                  <w:color w:val="000000"/>
                  <w:sz w:val="20"/>
                  <w:szCs w:val="20"/>
                </w:rPr>
                <w:t>www.rubner.com</w:t>
              </w:r>
            </w:hyperlink>
            <w:r>
              <w:rPr>
                <w:sz w:val="20"/>
                <w:szCs w:val="20"/>
              </w:rPr>
              <w:br/>
              <w:t xml:space="preserve">HLS: TEPMA Engineering GmbH, Borken, </w:t>
            </w:r>
            <w:hyperlink r:id="rId11">
              <w:r>
                <w:rPr>
                  <w:rStyle w:val="Hyperlink"/>
                  <w:color w:val="000000"/>
                  <w:sz w:val="20"/>
                  <w:szCs w:val="20"/>
                </w:rPr>
                <w:t>www.tepma.de</w:t>
              </w:r>
            </w:hyperlink>
            <w:r>
              <w:rPr>
                <w:sz w:val="20"/>
                <w:szCs w:val="20"/>
              </w:rPr>
              <w:br/>
              <w:t xml:space="preserve">ELT: SE Engineering GmbH, Vilshofen a. d. Donau, </w:t>
            </w:r>
            <w:hyperlink r:id="rId12">
              <w:r>
                <w:rPr>
                  <w:rStyle w:val="Hyperlink"/>
                  <w:color w:val="000000"/>
                  <w:sz w:val="20"/>
                  <w:szCs w:val="20"/>
                </w:rPr>
                <w:t>www.se-engineering.org</w:t>
              </w:r>
            </w:hyperlink>
            <w:r>
              <w:rPr>
                <w:sz w:val="20"/>
                <w:szCs w:val="20"/>
              </w:rPr>
              <w:br/>
              <w:t xml:space="preserve">Außenanlagen: </w:t>
            </w:r>
            <w:proofErr w:type="spellStart"/>
            <w:r>
              <w:rPr>
                <w:sz w:val="20"/>
                <w:szCs w:val="20"/>
              </w:rPr>
              <w:t>adlerolesch</w:t>
            </w:r>
            <w:proofErr w:type="spellEnd"/>
            <w:r>
              <w:rPr>
                <w:sz w:val="20"/>
                <w:szCs w:val="20"/>
              </w:rPr>
              <w:t xml:space="preserve"> GmbH, Nürnberg,  </w:t>
            </w:r>
            <w:hyperlink r:id="rId13">
              <w:r>
                <w:rPr>
                  <w:rStyle w:val="Hyperlink"/>
                  <w:color w:val="000000"/>
                  <w:sz w:val="20"/>
                  <w:szCs w:val="20"/>
                </w:rPr>
                <w:t>www.adlerolesch.de</w:t>
              </w:r>
            </w:hyperlink>
            <w:r>
              <w:rPr>
                <w:sz w:val="20"/>
                <w:szCs w:val="20"/>
              </w:rPr>
              <w:t xml:space="preserve">  </w:t>
            </w:r>
            <w:r>
              <w:rPr>
                <w:sz w:val="20"/>
                <w:szCs w:val="20"/>
              </w:rPr>
              <w:br/>
              <w:t xml:space="preserve">Brandschutz: Kuhn Decker GmbH &amp; Co. KG: Sindelfingen, </w:t>
            </w:r>
            <w:hyperlink r:id="rId14">
              <w:r>
                <w:rPr>
                  <w:rStyle w:val="Hyperlink"/>
                  <w:color w:val="000000"/>
                  <w:sz w:val="20"/>
                  <w:szCs w:val="20"/>
                </w:rPr>
                <w:t>www.kuhndecker.de</w:t>
              </w:r>
            </w:hyperlink>
            <w:r>
              <w:rPr>
                <w:sz w:val="20"/>
                <w:szCs w:val="20"/>
              </w:rPr>
              <w:br/>
              <w:t xml:space="preserve">Bauphysik: GN Bauphysik Finkenberger + Kollegen Ingenieurgesellschaft, </w:t>
            </w:r>
            <w:hyperlink r:id="rId15">
              <w:r>
                <w:rPr>
                  <w:rStyle w:val="Hyperlink"/>
                  <w:color w:val="000000"/>
                  <w:sz w:val="20"/>
                  <w:szCs w:val="20"/>
                </w:rPr>
                <w:t>www.gn-bauphysik.de</w:t>
              </w:r>
            </w:hyperlink>
            <w:r>
              <w:rPr>
                <w:sz w:val="20"/>
                <w:szCs w:val="20"/>
              </w:rPr>
              <w:br/>
              <w:t xml:space="preserve">Vermesser: Ingenieurbüro Anton Herbst GmbH, Nürnberg, </w:t>
            </w:r>
            <w:hyperlink r:id="rId16">
              <w:r>
                <w:rPr>
                  <w:rStyle w:val="Hyperlink"/>
                  <w:color w:val="000000"/>
                  <w:sz w:val="20"/>
                  <w:szCs w:val="20"/>
                </w:rPr>
                <w:t>www.vermessung-herbst.com</w:t>
              </w:r>
            </w:hyperlink>
            <w:r>
              <w:rPr>
                <w:sz w:val="20"/>
                <w:szCs w:val="20"/>
              </w:rPr>
              <w:br/>
              <w:t xml:space="preserve">Projektsteuerung: ERNST² Architekten, München, </w:t>
            </w:r>
            <w:hyperlink r:id="rId17">
              <w:r>
                <w:rPr>
                  <w:rStyle w:val="Hyperlink"/>
                  <w:color w:val="000000"/>
                  <w:sz w:val="20"/>
                  <w:szCs w:val="20"/>
                </w:rPr>
                <w:t>www.ernst2-architekten.de</w:t>
              </w:r>
            </w:hyperlink>
            <w:r>
              <w:rPr>
                <w:sz w:val="20"/>
                <w:szCs w:val="20"/>
              </w:rPr>
              <w:br/>
            </w:r>
            <w:r>
              <w:rPr>
                <w:sz w:val="20"/>
                <w:szCs w:val="20"/>
              </w:rPr>
              <w:br/>
              <w:t>Bauzeit: 10/2022 – 04/2024</w:t>
            </w:r>
            <w:r>
              <w:rPr>
                <w:sz w:val="20"/>
                <w:szCs w:val="20"/>
              </w:rPr>
              <w:br/>
              <w:t>Fertigstellung: 04/2024</w:t>
            </w:r>
            <w:r>
              <w:rPr>
                <w:sz w:val="20"/>
                <w:szCs w:val="20"/>
              </w:rPr>
              <w:br/>
              <w:t>BGF: 5.073 m²</w:t>
            </w:r>
            <w:r>
              <w:rPr>
                <w:sz w:val="20"/>
                <w:szCs w:val="20"/>
              </w:rPr>
              <w:br/>
              <w:t>BRI: 19.467 m³</w:t>
            </w:r>
            <w:r>
              <w:rPr>
                <w:sz w:val="20"/>
                <w:szCs w:val="20"/>
              </w:rPr>
              <w:br/>
              <w:t>Nutzfläche: 4.270 m²</w:t>
            </w:r>
            <w:r>
              <w:rPr>
                <w:sz w:val="20"/>
                <w:szCs w:val="20"/>
              </w:rPr>
              <w:br/>
              <w:t>Energiestandard: Passivhausstandard PHPP</w:t>
            </w:r>
            <w:r>
              <w:rPr>
                <w:sz w:val="20"/>
                <w:szCs w:val="20"/>
              </w:rPr>
              <w:br/>
              <w:t>Fotos: Max Leitner</w:t>
            </w:r>
          </w:p>
          <w:p w:rsidR="00E96057" w:rsidRDefault="00000000">
            <w:pPr>
              <w:rPr>
                <w:sz w:val="20"/>
                <w:szCs w:val="20"/>
              </w:rPr>
            </w:pPr>
            <w:r>
              <w:rPr>
                <w:sz w:val="20"/>
                <w:szCs w:val="20"/>
              </w:rPr>
              <w:t>Stuttgart, im Januar 2025</w:t>
            </w:r>
            <w:r>
              <w:rPr>
                <w:sz w:val="20"/>
                <w:szCs w:val="20"/>
              </w:rPr>
              <w:br/>
              <w:t>Abdruck honorarfrei / Beleg erbeten</w:t>
            </w:r>
          </w:p>
        </w:tc>
        <w:tc>
          <w:tcPr>
            <w:tcW w:w="1200" w:type="pct"/>
            <w:tcBorders>
              <w:top w:val="nil"/>
              <w:left w:val="nil"/>
              <w:bottom w:val="nil"/>
              <w:right w:val="nil"/>
            </w:tcBorders>
            <w:shd w:val="clear" w:color="auto" w:fill="auto"/>
            <w:tcMar>
              <w:top w:w="0" w:type="dxa"/>
              <w:left w:w="0" w:type="dxa"/>
              <w:bottom w:w="0" w:type="dxa"/>
              <w:right w:w="227" w:type="dxa"/>
            </w:tcMar>
          </w:tcPr>
          <w:p w:rsidR="00E96057" w:rsidRDefault="00000000">
            <w:pPr>
              <w:rPr>
                <w:sz w:val="20"/>
                <w:szCs w:val="20"/>
              </w:rPr>
            </w:pPr>
            <w:r>
              <w:rPr>
                <w:rFonts w:eastAsia="Arial"/>
                <w:b/>
                <w:sz w:val="20"/>
                <w:szCs w:val="20"/>
              </w:rPr>
              <w:lastRenderedPageBreak/>
              <w:t>Journalistenkontakt</w:t>
            </w:r>
            <w:r>
              <w:rPr>
                <w:rFonts w:eastAsia="Arial"/>
                <w:b/>
                <w:sz w:val="20"/>
                <w:szCs w:val="20"/>
              </w:rPr>
              <w:br/>
            </w:r>
            <w:r>
              <w:rPr>
                <w:rFonts w:eastAsia="Arial"/>
                <w:sz w:val="20"/>
                <w:szCs w:val="20"/>
              </w:rPr>
              <w:t>Rainer Häupl</w:t>
            </w:r>
            <w:r>
              <w:rPr>
                <w:rFonts w:eastAsia="Arial"/>
                <w:sz w:val="20"/>
                <w:szCs w:val="20"/>
              </w:rPr>
              <w:br/>
              <w:t>bering*</w:t>
            </w:r>
            <w:proofErr w:type="spellStart"/>
            <w:r>
              <w:rPr>
                <w:rFonts w:eastAsia="Arial"/>
                <w:sz w:val="20"/>
                <w:szCs w:val="20"/>
              </w:rPr>
              <w:t>kopal</w:t>
            </w:r>
            <w:proofErr w:type="spellEnd"/>
            <w:r>
              <w:rPr>
                <w:rFonts w:eastAsia="Arial"/>
                <w:sz w:val="20"/>
                <w:szCs w:val="20"/>
              </w:rPr>
              <w:t xml:space="preserve"> GbR, Büro für Kommunikation</w:t>
            </w:r>
            <w:r>
              <w:rPr>
                <w:rFonts w:eastAsia="Arial"/>
                <w:sz w:val="20"/>
                <w:szCs w:val="20"/>
              </w:rPr>
              <w:br/>
              <w:t>t +49(0)711 745175916</w:t>
            </w:r>
            <w:r>
              <w:rPr>
                <w:rFonts w:eastAsia="Arial"/>
                <w:sz w:val="20"/>
                <w:szCs w:val="20"/>
              </w:rPr>
              <w:br/>
              <w:t>rainer.haeupl@bering-kopal.de</w:t>
            </w:r>
            <w:r>
              <w:rPr>
                <w:rFonts w:eastAsia="Arial"/>
                <w:sz w:val="20"/>
                <w:szCs w:val="20"/>
              </w:rPr>
              <w:br/>
              <w:t>www.bering-kopal.de</w:t>
            </w:r>
            <w:r>
              <w:rPr>
                <w:rFonts w:eastAsia="Arial"/>
                <w:sz w:val="20"/>
                <w:szCs w:val="20"/>
              </w:rPr>
              <w:br/>
            </w:r>
            <w:r>
              <w:rPr>
                <w:rFonts w:eastAsia="Arial"/>
                <w:sz w:val="20"/>
                <w:szCs w:val="20"/>
              </w:rPr>
              <w:br/>
            </w:r>
            <w:r>
              <w:rPr>
                <w:rFonts w:eastAsia="Arial"/>
                <w:b/>
                <w:sz w:val="20"/>
                <w:szCs w:val="20"/>
              </w:rPr>
              <w:t>Architektenkontakt</w:t>
            </w:r>
            <w:r>
              <w:rPr>
                <w:rFonts w:eastAsia="Arial"/>
                <w:sz w:val="20"/>
                <w:szCs w:val="20"/>
              </w:rPr>
              <w:br/>
            </w:r>
            <w:proofErr w:type="spellStart"/>
            <w:r>
              <w:rPr>
                <w:rFonts w:eastAsia="Arial"/>
                <w:sz w:val="20"/>
                <w:szCs w:val="20"/>
              </w:rPr>
              <w:t>a+r</w:t>
            </w:r>
            <w:proofErr w:type="spellEnd"/>
            <w:r>
              <w:rPr>
                <w:rFonts w:eastAsia="Arial"/>
                <w:sz w:val="20"/>
                <w:szCs w:val="20"/>
              </w:rPr>
              <w:t xml:space="preserve"> Architekten GmbH</w:t>
            </w:r>
            <w:r>
              <w:rPr>
                <w:sz w:val="20"/>
                <w:szCs w:val="20"/>
              </w:rPr>
              <w:br/>
            </w:r>
            <w:r>
              <w:rPr>
                <w:rFonts w:eastAsia="Arial"/>
                <w:sz w:val="20"/>
                <w:szCs w:val="20"/>
              </w:rPr>
              <w:t>Miriam Gärtner</w:t>
            </w:r>
            <w:r>
              <w:rPr>
                <w:rFonts w:eastAsia="Arial"/>
                <w:sz w:val="20"/>
                <w:szCs w:val="20"/>
              </w:rPr>
              <w:br/>
              <w:t>Rotebühlstraße 89/2</w:t>
            </w:r>
            <w:r>
              <w:rPr>
                <w:sz w:val="20"/>
                <w:szCs w:val="20"/>
              </w:rPr>
              <w:br/>
            </w:r>
            <w:r>
              <w:rPr>
                <w:rFonts w:eastAsia="Arial"/>
                <w:sz w:val="20"/>
                <w:szCs w:val="20"/>
              </w:rPr>
              <w:t>D 70178 Stuttgart</w:t>
            </w:r>
            <w:r>
              <w:rPr>
                <w:sz w:val="20"/>
                <w:szCs w:val="20"/>
              </w:rPr>
              <w:br/>
            </w:r>
            <w:r>
              <w:rPr>
                <w:rFonts w:eastAsia="Arial"/>
                <w:sz w:val="20"/>
                <w:szCs w:val="20"/>
              </w:rPr>
              <w:t>t +49(0)711 722355-802</w:t>
            </w:r>
            <w:r>
              <w:rPr>
                <w:sz w:val="20"/>
                <w:szCs w:val="20"/>
              </w:rPr>
              <w:br/>
            </w:r>
            <w:r>
              <w:rPr>
                <w:rFonts w:eastAsia="Arial"/>
                <w:sz w:val="20"/>
                <w:szCs w:val="20"/>
              </w:rPr>
              <w:t>f +49(0)711 722355-22</w:t>
            </w:r>
            <w:r>
              <w:rPr>
                <w:sz w:val="20"/>
                <w:szCs w:val="20"/>
              </w:rPr>
              <w:br/>
            </w:r>
            <w:hyperlink r:id="rId18">
              <w:r>
                <w:rPr>
                  <w:rStyle w:val="Hyperlink"/>
                  <w:rFonts w:eastAsia="Arial"/>
                  <w:color w:val="000000"/>
                  <w:sz w:val="20"/>
                  <w:szCs w:val="20"/>
                </w:rPr>
                <w:t>pr@aplusr.de</w:t>
              </w:r>
            </w:hyperlink>
            <w:r>
              <w:rPr>
                <w:sz w:val="20"/>
                <w:szCs w:val="20"/>
              </w:rPr>
              <w:br/>
            </w:r>
            <w:hyperlink r:id="rId19" w:tgtFrame="_blank">
              <w:r>
                <w:rPr>
                  <w:rStyle w:val="Hyperlink"/>
                  <w:rFonts w:eastAsia="Arial"/>
                  <w:color w:val="000000"/>
                  <w:sz w:val="20"/>
                  <w:szCs w:val="20"/>
                </w:rPr>
                <w:t>www.aplusr.de</w:t>
              </w:r>
            </w:hyperlink>
          </w:p>
        </w:tc>
      </w:tr>
    </w:tbl>
    <w:p w:rsidR="00E96057" w:rsidRDefault="00000000">
      <w:r>
        <w:lastRenderedPageBreak/>
        <w:br w:type="page"/>
      </w:r>
    </w:p>
    <w:p w:rsidR="00E96057" w:rsidRDefault="00000000">
      <w:pPr>
        <w:spacing w:line="240" w:lineRule="auto"/>
        <w:rPr>
          <w:sz w:val="17"/>
          <w:szCs w:val="17"/>
        </w:rPr>
      </w:pPr>
      <w:r>
        <w:rPr>
          <w:b/>
          <w:sz w:val="17"/>
          <w:szCs w:val="17"/>
        </w:rPr>
        <w:lastRenderedPageBreak/>
        <w:t>1</w:t>
      </w:r>
      <w:r>
        <w:rPr>
          <w:sz w:val="17"/>
          <w:szCs w:val="17"/>
        </w:rPr>
        <w:t xml:space="preserve"> Der „Cube </w:t>
      </w:r>
      <w:proofErr w:type="spellStart"/>
      <w:r>
        <w:rPr>
          <w:sz w:val="17"/>
          <w:szCs w:val="17"/>
        </w:rPr>
        <w:t>One</w:t>
      </w:r>
      <w:proofErr w:type="spellEnd"/>
      <w:r>
        <w:rPr>
          <w:sz w:val="17"/>
          <w:szCs w:val="17"/>
        </w:rPr>
        <w:t xml:space="preserve">“ ist das erste Gebäude auf dem neu entstehenden Campus der „University </w:t>
      </w:r>
      <w:proofErr w:type="spellStart"/>
      <w:r>
        <w:rPr>
          <w:sz w:val="17"/>
          <w:szCs w:val="17"/>
        </w:rPr>
        <w:t>of</w:t>
      </w:r>
      <w:proofErr w:type="spellEnd"/>
      <w:r>
        <w:rPr>
          <w:sz w:val="17"/>
          <w:szCs w:val="17"/>
        </w:rPr>
        <w:t xml:space="preserve"> Technology Nürnberg“ (UTN) und vereint innovatives Bauen, nachhaltige Konzepte und flexible Nutzungsmöglichkeiten. Foto: Max Leitner</w:t>
      </w:r>
      <w:r>
        <w:rPr>
          <w:sz w:val="17"/>
          <w:szCs w:val="17"/>
        </w:rPr>
        <w:br/>
      </w:r>
    </w:p>
    <w:p w:rsidR="00E96057" w:rsidRDefault="00000000">
      <w:pPr>
        <w:spacing w:line="240" w:lineRule="auto"/>
        <w:rPr>
          <w:sz w:val="17"/>
          <w:szCs w:val="17"/>
        </w:rPr>
      </w:pPr>
      <w:r>
        <w:rPr>
          <w:b/>
          <w:sz w:val="17"/>
          <w:szCs w:val="17"/>
        </w:rPr>
        <w:t>2</w:t>
      </w:r>
      <w:r>
        <w:rPr>
          <w:sz w:val="17"/>
          <w:szCs w:val="17"/>
        </w:rPr>
        <w:t xml:space="preserve"> Das Gebäude öffnet sich zur neu gestalteten Dr.-Luise-Herzberg-Straße mit einem großzügig verglasten Forum und einem über Eck anschließenden Konferenzbereich. Die Fassadenbegrünung stärkt diese Ecksituation und schafft einen geschützten Außenraum im Eingangsbereich. Foto: Max Leitner</w:t>
      </w:r>
      <w:r>
        <w:rPr>
          <w:sz w:val="17"/>
          <w:szCs w:val="17"/>
        </w:rPr>
        <w:br/>
      </w:r>
    </w:p>
    <w:p w:rsidR="00E96057" w:rsidRDefault="00000000">
      <w:pPr>
        <w:spacing w:line="240" w:lineRule="auto"/>
        <w:rPr>
          <w:sz w:val="17"/>
          <w:szCs w:val="17"/>
        </w:rPr>
      </w:pPr>
      <w:r>
        <w:rPr>
          <w:b/>
          <w:sz w:val="17"/>
          <w:szCs w:val="17"/>
        </w:rPr>
        <w:t>3</w:t>
      </w:r>
      <w:r>
        <w:rPr>
          <w:sz w:val="17"/>
          <w:szCs w:val="17"/>
        </w:rPr>
        <w:t xml:space="preserve"> Die Holzfassade des Gebäudes unterstreicht den modularen Aufbau durch eine rhythmische Anordnung von geschlossenen und offenen Bereichen. Die tragenden Stützen sind optisch hervorgehoben und gliedern die Fassade zusätzlich. Foto: Max Leitner</w:t>
      </w:r>
      <w:r>
        <w:rPr>
          <w:sz w:val="17"/>
          <w:szCs w:val="17"/>
        </w:rPr>
        <w:br/>
      </w:r>
    </w:p>
    <w:p w:rsidR="00E96057" w:rsidRDefault="00000000">
      <w:pPr>
        <w:spacing w:line="240" w:lineRule="auto"/>
        <w:rPr>
          <w:sz w:val="17"/>
          <w:szCs w:val="17"/>
        </w:rPr>
      </w:pPr>
      <w:r>
        <w:rPr>
          <w:b/>
          <w:sz w:val="17"/>
          <w:szCs w:val="17"/>
        </w:rPr>
        <w:t>4</w:t>
      </w:r>
      <w:r>
        <w:rPr>
          <w:sz w:val="17"/>
          <w:szCs w:val="17"/>
        </w:rPr>
        <w:t xml:space="preserve"> Die Holzfassade des von </w:t>
      </w:r>
      <w:proofErr w:type="spellStart"/>
      <w:r>
        <w:rPr>
          <w:sz w:val="17"/>
          <w:szCs w:val="17"/>
        </w:rPr>
        <w:t>a+r</w:t>
      </w:r>
      <w:proofErr w:type="spellEnd"/>
      <w:r>
        <w:rPr>
          <w:sz w:val="17"/>
          <w:szCs w:val="17"/>
        </w:rPr>
        <w:t xml:space="preserve"> Architekten entworfenen sechsgeschossigen Büro- und Verwaltungsgebäudes unterstreicht nicht nur den ästhetischen Aspekt des Gebäudes – sie steht auch für den hohen Grad an Nachhaltigkeit, der den neuen „Cube </w:t>
      </w:r>
      <w:proofErr w:type="spellStart"/>
      <w:r>
        <w:rPr>
          <w:sz w:val="17"/>
          <w:szCs w:val="17"/>
        </w:rPr>
        <w:t>One</w:t>
      </w:r>
      <w:proofErr w:type="spellEnd"/>
      <w:r>
        <w:rPr>
          <w:sz w:val="17"/>
          <w:szCs w:val="17"/>
        </w:rPr>
        <w:t>“ auf mehreren Ebenen auszeichnet. Foto: Max Leitner</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E96057">
        <w:tc>
          <w:tcPr>
            <w:tcW w:w="2444" w:type="pct"/>
            <w:tcBorders>
              <w:top w:val="nil"/>
              <w:left w:val="nil"/>
              <w:bottom w:val="nil"/>
              <w:right w:val="nil"/>
            </w:tcBorders>
            <w:shd w:val="clear" w:color="auto" w:fill="auto"/>
            <w:tcMar>
              <w:top w:w="0" w:type="dxa"/>
              <w:left w:w="0" w:type="dxa"/>
              <w:bottom w:w="0" w:type="dxa"/>
              <w:right w:w="0" w:type="dxa"/>
            </w:tcMar>
          </w:tcPr>
          <w:p w:rsidR="00E96057" w:rsidRDefault="00000000">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rsidR="00E96057" w:rsidRDefault="00E96057">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E96057" w:rsidRDefault="00000000">
            <w:pPr>
              <w:keepNext/>
              <w:keepLines/>
              <w:spacing w:line="240" w:lineRule="auto"/>
              <w:rPr>
                <w:sz w:val="14"/>
                <w:szCs w:val="14"/>
              </w:rPr>
            </w:pPr>
            <w:r>
              <w:rPr>
                <w:sz w:val="14"/>
                <w:szCs w:val="14"/>
              </w:rPr>
              <w:t>2.</w:t>
            </w:r>
          </w:p>
        </w:tc>
      </w:tr>
      <w:tr w:rsidR="00E9605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E96057" w:rsidRDefault="00000000">
            <w:pPr>
              <w:keepNext/>
              <w:keepLines/>
              <w:spacing w:line="240" w:lineRule="auto"/>
              <w:rPr>
                <w:sz w:val="14"/>
                <w:szCs w:val="14"/>
              </w:rPr>
            </w:pPr>
            <w:r>
              <w:rPr>
                <w:noProof/>
                <w:sz w:val="14"/>
                <w:szCs w:val="14"/>
              </w:rPr>
              <w:drawing>
                <wp:inline distT="0" distB="0" distL="0" distR="0">
                  <wp:extent cx="3026410" cy="1899285"/>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20"/>
                          <a:srcRect/>
                          <a:stretch>
                            <a:fillRect/>
                          </a:stretch>
                        </pic:blipFill>
                        <pic:spPr>
                          <a:xfrm>
                            <a:off x="0" y="0"/>
                            <a:ext cx="3026410" cy="1899285"/>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E96057" w:rsidRDefault="00E96057">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E96057" w:rsidRDefault="00000000">
            <w:pPr>
              <w:keepNext/>
              <w:keepLines/>
              <w:spacing w:line="240" w:lineRule="auto"/>
              <w:rPr>
                <w:sz w:val="14"/>
                <w:szCs w:val="14"/>
              </w:rPr>
            </w:pPr>
            <w:r>
              <w:rPr>
                <w:noProof/>
                <w:sz w:val="14"/>
                <w:szCs w:val="14"/>
              </w:rPr>
              <w:drawing>
                <wp:inline distT="0" distB="0" distL="0" distR="0">
                  <wp:extent cx="3023870"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21"/>
                          <a:srcRect/>
                          <a:stretch>
                            <a:fillRect/>
                          </a:stretch>
                        </pic:blipFill>
                        <pic:spPr>
                          <a:xfrm>
                            <a:off x="0" y="0"/>
                            <a:ext cx="3023870" cy="2014220"/>
                          </a:xfrm>
                          <a:prstGeom prst="rect">
                            <a:avLst/>
                          </a:prstGeom>
                        </pic:spPr>
                      </pic:pic>
                    </a:graphicData>
                  </a:graphic>
                </wp:inline>
              </w:drawing>
            </w:r>
          </w:p>
        </w:tc>
      </w:tr>
      <w:tr w:rsidR="00E96057">
        <w:tc>
          <w:tcPr>
            <w:tcW w:w="2444" w:type="pct"/>
            <w:tcBorders>
              <w:top w:val="nil"/>
              <w:left w:val="nil"/>
              <w:bottom w:val="nil"/>
              <w:right w:val="nil"/>
            </w:tcBorders>
            <w:shd w:val="clear" w:color="auto" w:fill="auto"/>
            <w:tcMar>
              <w:top w:w="0" w:type="dxa"/>
              <w:left w:w="0" w:type="dxa"/>
              <w:bottom w:w="0" w:type="dxa"/>
              <w:right w:w="0" w:type="dxa"/>
            </w:tcMar>
          </w:tcPr>
          <w:p w:rsidR="00E96057" w:rsidRDefault="00E96057">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E96057" w:rsidRDefault="00E96057">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E96057" w:rsidRDefault="00E96057">
            <w:pPr>
              <w:keepNext/>
              <w:keepLines/>
              <w:spacing w:line="240" w:lineRule="auto"/>
              <w:rPr>
                <w:sz w:val="14"/>
                <w:szCs w:val="14"/>
              </w:rPr>
            </w:pPr>
          </w:p>
        </w:tc>
      </w:tr>
      <w:tr w:rsidR="00E96057">
        <w:tc>
          <w:tcPr>
            <w:tcW w:w="2444" w:type="pct"/>
            <w:tcBorders>
              <w:top w:val="nil"/>
              <w:left w:val="nil"/>
              <w:bottom w:val="nil"/>
              <w:right w:val="nil"/>
            </w:tcBorders>
            <w:shd w:val="clear" w:color="auto" w:fill="auto"/>
            <w:tcMar>
              <w:top w:w="0" w:type="dxa"/>
              <w:left w:w="0" w:type="dxa"/>
              <w:bottom w:w="0" w:type="dxa"/>
              <w:right w:w="0" w:type="dxa"/>
            </w:tcMar>
          </w:tcPr>
          <w:p w:rsidR="00E96057" w:rsidRDefault="00000000">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rsidR="00E96057" w:rsidRDefault="00E96057">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E96057" w:rsidRDefault="00000000">
            <w:pPr>
              <w:keepNext/>
              <w:keepLines/>
              <w:spacing w:line="240" w:lineRule="auto"/>
              <w:rPr>
                <w:sz w:val="14"/>
                <w:szCs w:val="14"/>
              </w:rPr>
            </w:pPr>
            <w:r>
              <w:rPr>
                <w:sz w:val="14"/>
                <w:szCs w:val="14"/>
              </w:rPr>
              <w:t>4.</w:t>
            </w:r>
          </w:p>
        </w:tc>
      </w:tr>
      <w:tr w:rsidR="00E9605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E96057" w:rsidRDefault="00000000">
            <w:pPr>
              <w:keepNext/>
              <w:keepLines/>
              <w:spacing w:line="240" w:lineRule="auto"/>
              <w:rPr>
                <w:sz w:val="14"/>
                <w:szCs w:val="14"/>
              </w:rPr>
            </w:pPr>
            <w:r>
              <w:rPr>
                <w:noProof/>
                <w:sz w:val="14"/>
                <w:szCs w:val="14"/>
              </w:rPr>
              <w:drawing>
                <wp:inline distT="0" distB="0" distL="0" distR="0">
                  <wp:extent cx="3020060" cy="2014220"/>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22"/>
                          <a:srcRect/>
                          <a:stretch>
                            <a:fillRect/>
                          </a:stretch>
                        </pic:blipFill>
                        <pic:spPr>
                          <a:xfrm>
                            <a:off x="0" y="0"/>
                            <a:ext cx="302006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E96057" w:rsidRDefault="00E96057">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E96057" w:rsidRDefault="00000000">
            <w:pPr>
              <w:keepNext/>
              <w:keepLines/>
              <w:spacing w:line="240" w:lineRule="auto"/>
              <w:rPr>
                <w:sz w:val="14"/>
                <w:szCs w:val="14"/>
              </w:rPr>
            </w:pPr>
            <w:r>
              <w:rPr>
                <w:noProof/>
                <w:sz w:val="14"/>
                <w:szCs w:val="14"/>
              </w:rPr>
              <w:drawing>
                <wp:inline distT="0" distB="0" distL="0" distR="0">
                  <wp:extent cx="3023870" cy="2014220"/>
                  <wp:effectExtent l="0" t="0" r="0" b="0"/>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dpi="0">
                          <a:blip r:embed="rId23"/>
                          <a:srcRect/>
                          <a:stretch>
                            <a:fillRect/>
                          </a:stretch>
                        </pic:blipFill>
                        <pic:spPr>
                          <a:xfrm>
                            <a:off x="0" y="0"/>
                            <a:ext cx="3023870" cy="2014220"/>
                          </a:xfrm>
                          <a:prstGeom prst="rect">
                            <a:avLst/>
                          </a:prstGeom>
                        </pic:spPr>
                      </pic:pic>
                    </a:graphicData>
                  </a:graphic>
                </wp:inline>
              </w:drawing>
            </w:r>
          </w:p>
        </w:tc>
      </w:tr>
    </w:tbl>
    <w:p w:rsidR="00E96057" w:rsidRDefault="00000000">
      <w:pPr>
        <w:spacing w:line="240" w:lineRule="auto"/>
      </w:pPr>
      <w:r>
        <w:br w:type="page"/>
      </w:r>
    </w:p>
    <w:p w:rsidR="00E96057" w:rsidRDefault="00000000">
      <w:pPr>
        <w:spacing w:line="240" w:lineRule="auto"/>
        <w:rPr>
          <w:sz w:val="17"/>
          <w:szCs w:val="17"/>
        </w:rPr>
      </w:pPr>
      <w:r>
        <w:rPr>
          <w:b/>
          <w:sz w:val="17"/>
          <w:szCs w:val="17"/>
        </w:rPr>
        <w:lastRenderedPageBreak/>
        <w:t>5</w:t>
      </w:r>
      <w:r>
        <w:rPr>
          <w:sz w:val="17"/>
          <w:szCs w:val="17"/>
        </w:rPr>
        <w:t xml:space="preserve"> Besondere Herausforderung: Das stählerne </w:t>
      </w:r>
      <w:proofErr w:type="spellStart"/>
      <w:r>
        <w:rPr>
          <w:sz w:val="17"/>
          <w:szCs w:val="17"/>
        </w:rPr>
        <w:t>Rankgerüst</w:t>
      </w:r>
      <w:proofErr w:type="spellEnd"/>
      <w:r>
        <w:rPr>
          <w:sz w:val="17"/>
          <w:szCs w:val="17"/>
        </w:rPr>
        <w:t xml:space="preserve"> für die Fassadenbegrünung wurde mit Hilfe einer 3D-Drohnenvermessung an der leichten Holzfassade montiert. Die exakte Positionierung ist wichtig, um die tonnenschweren Lasten an den richtigen Stellen abzuleiten. Foto: Max Leitner</w:t>
      </w:r>
      <w:r>
        <w:rPr>
          <w:sz w:val="17"/>
          <w:szCs w:val="17"/>
        </w:rPr>
        <w:br/>
      </w:r>
    </w:p>
    <w:p w:rsidR="00E96057" w:rsidRDefault="00000000">
      <w:pPr>
        <w:spacing w:line="240" w:lineRule="auto"/>
        <w:rPr>
          <w:sz w:val="17"/>
          <w:szCs w:val="17"/>
        </w:rPr>
      </w:pPr>
      <w:r>
        <w:rPr>
          <w:b/>
          <w:sz w:val="17"/>
          <w:szCs w:val="17"/>
        </w:rPr>
        <w:t>6</w:t>
      </w:r>
      <w:r>
        <w:rPr>
          <w:sz w:val="17"/>
          <w:szCs w:val="17"/>
        </w:rPr>
        <w:t xml:space="preserve"> Im Inneren sorgen helle, natürliche Materialien und zeitlose Farben für eine angenehme Atmosphäre. So setzt das Holz der Fenster und Türen im Eingangsbereich einen warmen Akzent zu den weißen Wänden und hellen Böden. Foto: Max Leitner</w:t>
      </w:r>
      <w:r>
        <w:rPr>
          <w:sz w:val="17"/>
          <w:szCs w:val="17"/>
        </w:rPr>
        <w:br/>
      </w:r>
    </w:p>
    <w:p w:rsidR="00E96057" w:rsidRDefault="00000000">
      <w:pPr>
        <w:spacing w:line="240" w:lineRule="auto"/>
        <w:rPr>
          <w:sz w:val="17"/>
          <w:szCs w:val="17"/>
        </w:rPr>
      </w:pPr>
      <w:r>
        <w:rPr>
          <w:b/>
          <w:sz w:val="17"/>
          <w:szCs w:val="17"/>
        </w:rPr>
        <w:t>7</w:t>
      </w:r>
      <w:r>
        <w:rPr>
          <w:sz w:val="17"/>
          <w:szCs w:val="17"/>
        </w:rPr>
        <w:t xml:space="preserve"> Im obersten Geschoss bieten zwei von einer Pergola überdachte Terrassen und ein großzügiger Besprechungsraum den Blick auf den künftig weiterwachsenden Campus der Universität. Foto: Max Leitner</w:t>
      </w:r>
      <w:r>
        <w:rPr>
          <w:sz w:val="17"/>
          <w:szCs w:val="17"/>
        </w:rPr>
        <w:br/>
      </w:r>
    </w:p>
    <w:p w:rsidR="00E96057" w:rsidRDefault="00000000">
      <w:pPr>
        <w:spacing w:line="240" w:lineRule="auto"/>
        <w:rPr>
          <w:sz w:val="17"/>
          <w:szCs w:val="17"/>
        </w:rPr>
      </w:pPr>
      <w:r>
        <w:rPr>
          <w:b/>
          <w:sz w:val="17"/>
          <w:szCs w:val="17"/>
        </w:rPr>
        <w:t>8</w:t>
      </w:r>
      <w:r>
        <w:rPr>
          <w:sz w:val="17"/>
          <w:szCs w:val="17"/>
        </w:rPr>
        <w:t xml:space="preserve"> Lageplan „Cube </w:t>
      </w:r>
      <w:proofErr w:type="spellStart"/>
      <w:r>
        <w:rPr>
          <w:sz w:val="17"/>
          <w:szCs w:val="17"/>
        </w:rPr>
        <w:t>One</w:t>
      </w:r>
      <w:proofErr w:type="spellEnd"/>
      <w:r>
        <w:rPr>
          <w:sz w:val="17"/>
          <w:szCs w:val="17"/>
        </w:rPr>
        <w:t xml:space="preserve">“, Nürnberg, Zeichnung: </w:t>
      </w:r>
      <w:proofErr w:type="spellStart"/>
      <w:r>
        <w:rPr>
          <w:sz w:val="17"/>
          <w:szCs w:val="17"/>
        </w:rPr>
        <w:t>a+r</w:t>
      </w:r>
      <w:proofErr w:type="spellEnd"/>
      <w:r>
        <w:rPr>
          <w:sz w:val="17"/>
          <w:szCs w:val="17"/>
        </w:rPr>
        <w:t xml:space="preserve"> Architekten</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E96057">
        <w:tc>
          <w:tcPr>
            <w:tcW w:w="2444" w:type="pct"/>
            <w:tcBorders>
              <w:top w:val="nil"/>
              <w:left w:val="nil"/>
              <w:bottom w:val="nil"/>
              <w:right w:val="nil"/>
            </w:tcBorders>
            <w:shd w:val="clear" w:color="auto" w:fill="auto"/>
            <w:tcMar>
              <w:top w:w="0" w:type="dxa"/>
              <w:left w:w="0" w:type="dxa"/>
              <w:bottom w:w="0" w:type="dxa"/>
              <w:right w:w="0" w:type="dxa"/>
            </w:tcMar>
          </w:tcPr>
          <w:p w:rsidR="00E96057" w:rsidRDefault="00000000">
            <w:pPr>
              <w:keepNext/>
              <w:keepLines/>
              <w:spacing w:line="240" w:lineRule="auto"/>
              <w:rPr>
                <w:sz w:val="14"/>
                <w:szCs w:val="14"/>
              </w:rPr>
            </w:pPr>
            <w:r>
              <w:rPr>
                <w:sz w:val="14"/>
                <w:szCs w:val="14"/>
              </w:rPr>
              <w:t>5.</w:t>
            </w:r>
          </w:p>
        </w:tc>
        <w:tc>
          <w:tcPr>
            <w:tcW w:w="112" w:type="pct"/>
            <w:tcBorders>
              <w:top w:val="nil"/>
              <w:left w:val="nil"/>
              <w:bottom w:val="nil"/>
              <w:right w:val="nil"/>
            </w:tcBorders>
            <w:shd w:val="clear" w:color="auto" w:fill="auto"/>
            <w:tcMar>
              <w:top w:w="0" w:type="dxa"/>
              <w:left w:w="0" w:type="dxa"/>
              <w:bottom w:w="0" w:type="dxa"/>
              <w:right w:w="0" w:type="dxa"/>
            </w:tcMar>
          </w:tcPr>
          <w:p w:rsidR="00E96057" w:rsidRDefault="00E96057">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E96057" w:rsidRDefault="00000000">
            <w:pPr>
              <w:keepNext/>
              <w:keepLines/>
              <w:spacing w:line="240" w:lineRule="auto"/>
              <w:rPr>
                <w:sz w:val="14"/>
                <w:szCs w:val="14"/>
              </w:rPr>
            </w:pPr>
            <w:r>
              <w:rPr>
                <w:sz w:val="14"/>
                <w:szCs w:val="14"/>
              </w:rPr>
              <w:t>6.</w:t>
            </w:r>
          </w:p>
        </w:tc>
      </w:tr>
      <w:tr w:rsidR="00E9605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E96057" w:rsidRDefault="00000000">
            <w:pPr>
              <w:keepNext/>
              <w:keepLines/>
              <w:spacing w:line="240" w:lineRule="auto"/>
              <w:rPr>
                <w:sz w:val="14"/>
                <w:szCs w:val="14"/>
              </w:rPr>
            </w:pPr>
            <w:r>
              <w:rPr>
                <w:noProof/>
                <w:sz w:val="14"/>
                <w:szCs w:val="14"/>
              </w:rPr>
              <w:drawing>
                <wp:inline distT="0" distB="0" distL="0" distR="0">
                  <wp:extent cx="3023870" cy="2014220"/>
                  <wp:effectExtent l="0" t="0" r="0" b="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dpi="0">
                          <a:blip r:embed="rId24"/>
                          <a:srcRect/>
                          <a:stretch>
                            <a:fillRect/>
                          </a:stretch>
                        </pic:blipFill>
                        <pic:spPr>
                          <a:xfrm>
                            <a:off x="0" y="0"/>
                            <a:ext cx="30238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E96057" w:rsidRDefault="00E96057">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E96057" w:rsidRDefault="00000000">
            <w:pPr>
              <w:keepNext/>
              <w:keepLines/>
              <w:spacing w:line="240" w:lineRule="auto"/>
              <w:rPr>
                <w:sz w:val="14"/>
                <w:szCs w:val="14"/>
              </w:rPr>
            </w:pPr>
            <w:r>
              <w:rPr>
                <w:noProof/>
                <w:sz w:val="14"/>
                <w:szCs w:val="14"/>
              </w:rPr>
              <w:drawing>
                <wp:inline distT="0" distB="0" distL="0" distR="0">
                  <wp:extent cx="3023870" cy="2014220"/>
                  <wp:effectExtent l="0" t="0" r="0" b="0"/>
                  <wp:docPr id="9" name="Picture 9"/>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dpi="0">
                          <a:blip r:embed="rId25"/>
                          <a:srcRect/>
                          <a:stretch>
                            <a:fillRect/>
                          </a:stretch>
                        </pic:blipFill>
                        <pic:spPr>
                          <a:xfrm>
                            <a:off x="0" y="0"/>
                            <a:ext cx="3023870" cy="2014220"/>
                          </a:xfrm>
                          <a:prstGeom prst="rect">
                            <a:avLst/>
                          </a:prstGeom>
                        </pic:spPr>
                      </pic:pic>
                    </a:graphicData>
                  </a:graphic>
                </wp:inline>
              </w:drawing>
            </w:r>
          </w:p>
        </w:tc>
      </w:tr>
      <w:tr w:rsidR="00E96057">
        <w:tc>
          <w:tcPr>
            <w:tcW w:w="2444" w:type="pct"/>
            <w:tcBorders>
              <w:top w:val="nil"/>
              <w:left w:val="nil"/>
              <w:bottom w:val="nil"/>
              <w:right w:val="nil"/>
            </w:tcBorders>
            <w:shd w:val="clear" w:color="auto" w:fill="auto"/>
            <w:tcMar>
              <w:top w:w="0" w:type="dxa"/>
              <w:left w:w="0" w:type="dxa"/>
              <w:bottom w:w="0" w:type="dxa"/>
              <w:right w:w="0" w:type="dxa"/>
            </w:tcMar>
          </w:tcPr>
          <w:p w:rsidR="00E96057" w:rsidRDefault="00E96057">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E96057" w:rsidRDefault="00E96057">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E96057" w:rsidRDefault="00E96057">
            <w:pPr>
              <w:keepNext/>
              <w:keepLines/>
              <w:spacing w:line="240" w:lineRule="auto"/>
              <w:rPr>
                <w:sz w:val="14"/>
                <w:szCs w:val="14"/>
              </w:rPr>
            </w:pPr>
          </w:p>
        </w:tc>
      </w:tr>
      <w:tr w:rsidR="00E96057">
        <w:tc>
          <w:tcPr>
            <w:tcW w:w="2444" w:type="pct"/>
            <w:tcBorders>
              <w:top w:val="nil"/>
              <w:left w:val="nil"/>
              <w:bottom w:val="nil"/>
              <w:right w:val="nil"/>
            </w:tcBorders>
            <w:shd w:val="clear" w:color="auto" w:fill="auto"/>
            <w:tcMar>
              <w:top w:w="0" w:type="dxa"/>
              <w:left w:w="0" w:type="dxa"/>
              <w:bottom w:w="0" w:type="dxa"/>
              <w:right w:w="0" w:type="dxa"/>
            </w:tcMar>
          </w:tcPr>
          <w:p w:rsidR="00E96057" w:rsidRDefault="00000000">
            <w:pPr>
              <w:keepNext/>
              <w:keepLines/>
              <w:spacing w:line="240" w:lineRule="auto"/>
              <w:rPr>
                <w:sz w:val="14"/>
                <w:szCs w:val="14"/>
              </w:rPr>
            </w:pPr>
            <w:r>
              <w:rPr>
                <w:sz w:val="14"/>
                <w:szCs w:val="14"/>
              </w:rPr>
              <w:t>7.</w:t>
            </w:r>
          </w:p>
        </w:tc>
        <w:tc>
          <w:tcPr>
            <w:tcW w:w="112" w:type="pct"/>
            <w:tcBorders>
              <w:top w:val="nil"/>
              <w:left w:val="nil"/>
              <w:bottom w:val="nil"/>
              <w:right w:val="nil"/>
            </w:tcBorders>
            <w:shd w:val="clear" w:color="auto" w:fill="auto"/>
            <w:tcMar>
              <w:top w:w="0" w:type="dxa"/>
              <w:left w:w="0" w:type="dxa"/>
              <w:bottom w:w="0" w:type="dxa"/>
              <w:right w:w="0" w:type="dxa"/>
            </w:tcMar>
          </w:tcPr>
          <w:p w:rsidR="00E96057" w:rsidRDefault="00E96057">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E96057" w:rsidRDefault="00000000">
            <w:pPr>
              <w:keepNext/>
              <w:keepLines/>
              <w:spacing w:line="240" w:lineRule="auto"/>
              <w:rPr>
                <w:sz w:val="14"/>
                <w:szCs w:val="14"/>
              </w:rPr>
            </w:pPr>
            <w:r>
              <w:rPr>
                <w:sz w:val="14"/>
                <w:szCs w:val="14"/>
              </w:rPr>
              <w:t>8.</w:t>
            </w:r>
          </w:p>
        </w:tc>
      </w:tr>
      <w:tr w:rsidR="00E9605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E96057" w:rsidRDefault="00000000">
            <w:pPr>
              <w:keepNext/>
              <w:keepLines/>
              <w:spacing w:line="240" w:lineRule="auto"/>
              <w:rPr>
                <w:sz w:val="14"/>
                <w:szCs w:val="14"/>
              </w:rPr>
            </w:pPr>
            <w:r>
              <w:rPr>
                <w:noProof/>
                <w:sz w:val="14"/>
                <w:szCs w:val="14"/>
              </w:rPr>
              <w:drawing>
                <wp:inline distT="0" distB="0" distL="0" distR="0">
                  <wp:extent cx="3023870" cy="2014220"/>
                  <wp:effectExtent l="0" t="0" r="0" b="0"/>
                  <wp:docPr id="10" name="Pictu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dpi="0">
                          <a:blip r:embed="rId26"/>
                          <a:srcRect/>
                          <a:stretch>
                            <a:fillRect/>
                          </a:stretch>
                        </pic:blipFill>
                        <pic:spPr>
                          <a:xfrm>
                            <a:off x="0" y="0"/>
                            <a:ext cx="302387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E96057" w:rsidRDefault="00E96057">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E96057" w:rsidRDefault="00000000">
            <w:pPr>
              <w:keepNext/>
              <w:keepLines/>
              <w:spacing w:line="240" w:lineRule="auto"/>
              <w:rPr>
                <w:sz w:val="14"/>
                <w:szCs w:val="14"/>
              </w:rPr>
            </w:pPr>
            <w:r>
              <w:rPr>
                <w:noProof/>
                <w:sz w:val="14"/>
                <w:szCs w:val="14"/>
              </w:rPr>
              <w:drawing>
                <wp:inline distT="0" distB="0" distL="0" distR="0">
                  <wp:extent cx="2849880" cy="2014220"/>
                  <wp:effectExtent l="0" t="0" r="0" b="0"/>
                  <wp:docPr id="11" name="Pictu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dpi="0">
                          <a:blip r:embed="rId27"/>
                          <a:srcRect/>
                          <a:stretch>
                            <a:fillRect/>
                          </a:stretch>
                        </pic:blipFill>
                        <pic:spPr>
                          <a:xfrm>
                            <a:off x="0" y="0"/>
                            <a:ext cx="2849880" cy="2014220"/>
                          </a:xfrm>
                          <a:prstGeom prst="rect">
                            <a:avLst/>
                          </a:prstGeom>
                        </pic:spPr>
                      </pic:pic>
                    </a:graphicData>
                  </a:graphic>
                </wp:inline>
              </w:drawing>
            </w:r>
          </w:p>
        </w:tc>
      </w:tr>
    </w:tbl>
    <w:p w:rsidR="00E96057" w:rsidRDefault="00000000">
      <w:pPr>
        <w:spacing w:line="240" w:lineRule="auto"/>
      </w:pPr>
      <w:r>
        <w:br w:type="page"/>
      </w:r>
    </w:p>
    <w:p w:rsidR="00E96057" w:rsidRDefault="00000000">
      <w:pPr>
        <w:spacing w:line="240" w:lineRule="auto"/>
        <w:rPr>
          <w:sz w:val="17"/>
          <w:szCs w:val="17"/>
        </w:rPr>
      </w:pPr>
      <w:r>
        <w:rPr>
          <w:b/>
          <w:sz w:val="17"/>
          <w:szCs w:val="17"/>
        </w:rPr>
        <w:lastRenderedPageBreak/>
        <w:t>9</w:t>
      </w:r>
      <w:r>
        <w:rPr>
          <w:sz w:val="17"/>
          <w:szCs w:val="17"/>
        </w:rPr>
        <w:t xml:space="preserve"> Grundriss EG „Cube </w:t>
      </w:r>
      <w:proofErr w:type="spellStart"/>
      <w:r>
        <w:rPr>
          <w:sz w:val="17"/>
          <w:szCs w:val="17"/>
        </w:rPr>
        <w:t>One</w:t>
      </w:r>
      <w:proofErr w:type="spellEnd"/>
      <w:r>
        <w:rPr>
          <w:sz w:val="17"/>
          <w:szCs w:val="17"/>
        </w:rPr>
        <w:t xml:space="preserve">“, Nürnberg, Zeichnung: </w:t>
      </w:r>
      <w:proofErr w:type="spellStart"/>
      <w:r>
        <w:rPr>
          <w:sz w:val="17"/>
          <w:szCs w:val="17"/>
        </w:rPr>
        <w:t>a+r</w:t>
      </w:r>
      <w:proofErr w:type="spellEnd"/>
      <w:r>
        <w:rPr>
          <w:sz w:val="17"/>
          <w:szCs w:val="17"/>
        </w:rPr>
        <w:t xml:space="preserve"> Architekten</w:t>
      </w:r>
      <w:r>
        <w:rPr>
          <w:sz w:val="17"/>
          <w:szCs w:val="17"/>
        </w:rPr>
        <w:br/>
      </w:r>
    </w:p>
    <w:p w:rsidR="00E96057" w:rsidRDefault="00000000">
      <w:pPr>
        <w:spacing w:line="240" w:lineRule="auto"/>
        <w:rPr>
          <w:sz w:val="17"/>
          <w:szCs w:val="17"/>
        </w:rPr>
      </w:pPr>
      <w:r>
        <w:rPr>
          <w:b/>
          <w:sz w:val="17"/>
          <w:szCs w:val="17"/>
        </w:rPr>
        <w:t>10</w:t>
      </w:r>
      <w:r>
        <w:rPr>
          <w:sz w:val="17"/>
          <w:szCs w:val="17"/>
        </w:rPr>
        <w:t xml:space="preserve"> Grundriss OG „Cube </w:t>
      </w:r>
      <w:proofErr w:type="spellStart"/>
      <w:r>
        <w:rPr>
          <w:sz w:val="17"/>
          <w:szCs w:val="17"/>
        </w:rPr>
        <w:t>One</w:t>
      </w:r>
      <w:proofErr w:type="spellEnd"/>
      <w:r>
        <w:rPr>
          <w:sz w:val="17"/>
          <w:szCs w:val="17"/>
        </w:rPr>
        <w:t xml:space="preserve">“, Nürnberg, Zeichnung: </w:t>
      </w:r>
      <w:proofErr w:type="spellStart"/>
      <w:r>
        <w:rPr>
          <w:sz w:val="17"/>
          <w:szCs w:val="17"/>
        </w:rPr>
        <w:t>a+r</w:t>
      </w:r>
      <w:proofErr w:type="spellEnd"/>
      <w:r>
        <w:rPr>
          <w:sz w:val="17"/>
          <w:szCs w:val="17"/>
        </w:rPr>
        <w:t xml:space="preserve"> Architekten</w:t>
      </w:r>
      <w:r>
        <w:rPr>
          <w:sz w:val="17"/>
          <w:szCs w:val="17"/>
        </w:rPr>
        <w:br/>
      </w:r>
    </w:p>
    <w:p w:rsidR="00E96057" w:rsidRDefault="00000000">
      <w:pPr>
        <w:spacing w:line="240" w:lineRule="auto"/>
        <w:rPr>
          <w:sz w:val="17"/>
          <w:szCs w:val="17"/>
        </w:rPr>
      </w:pPr>
      <w:r>
        <w:rPr>
          <w:b/>
          <w:sz w:val="17"/>
          <w:szCs w:val="17"/>
        </w:rPr>
        <w:t>11</w:t>
      </w:r>
      <w:r>
        <w:rPr>
          <w:sz w:val="17"/>
          <w:szCs w:val="17"/>
        </w:rPr>
        <w:t xml:space="preserve"> Schnitt A-A „Cube </w:t>
      </w:r>
      <w:proofErr w:type="spellStart"/>
      <w:r>
        <w:rPr>
          <w:sz w:val="17"/>
          <w:szCs w:val="17"/>
        </w:rPr>
        <w:t>One</w:t>
      </w:r>
      <w:proofErr w:type="spellEnd"/>
      <w:r>
        <w:rPr>
          <w:sz w:val="17"/>
          <w:szCs w:val="17"/>
        </w:rPr>
        <w:t xml:space="preserve">“, Nürnberg, Zeichnung: </w:t>
      </w:r>
      <w:proofErr w:type="spellStart"/>
      <w:r>
        <w:rPr>
          <w:sz w:val="17"/>
          <w:szCs w:val="17"/>
        </w:rPr>
        <w:t>a+r</w:t>
      </w:r>
      <w:proofErr w:type="spellEnd"/>
      <w:r>
        <w:rPr>
          <w:sz w:val="17"/>
          <w:szCs w:val="17"/>
        </w:rPr>
        <w:t xml:space="preserve"> Architekten</w:t>
      </w:r>
      <w:r>
        <w:rPr>
          <w:sz w:val="17"/>
          <w:szCs w:val="17"/>
        </w:rPr>
        <w:br/>
      </w:r>
    </w:p>
    <w:p w:rsidR="00E96057" w:rsidRDefault="00000000">
      <w:pPr>
        <w:spacing w:line="240" w:lineRule="auto"/>
        <w:rPr>
          <w:sz w:val="17"/>
          <w:szCs w:val="17"/>
        </w:rPr>
      </w:pPr>
      <w:r>
        <w:rPr>
          <w:b/>
          <w:sz w:val="17"/>
          <w:szCs w:val="17"/>
        </w:rPr>
        <w:t>12</w:t>
      </w:r>
      <w:r>
        <w:rPr>
          <w:sz w:val="17"/>
          <w:szCs w:val="17"/>
        </w:rPr>
        <w:t xml:space="preserve"> Schnitt B-B „Cube </w:t>
      </w:r>
      <w:proofErr w:type="spellStart"/>
      <w:r>
        <w:rPr>
          <w:sz w:val="17"/>
          <w:szCs w:val="17"/>
        </w:rPr>
        <w:t>One</w:t>
      </w:r>
      <w:proofErr w:type="spellEnd"/>
      <w:r>
        <w:rPr>
          <w:sz w:val="17"/>
          <w:szCs w:val="17"/>
        </w:rPr>
        <w:t xml:space="preserve">“, Nürnberg, Zeichnung: </w:t>
      </w:r>
      <w:proofErr w:type="spellStart"/>
      <w:r>
        <w:rPr>
          <w:sz w:val="17"/>
          <w:szCs w:val="17"/>
        </w:rPr>
        <w:t>a+r</w:t>
      </w:r>
      <w:proofErr w:type="spellEnd"/>
      <w:r>
        <w:rPr>
          <w:sz w:val="17"/>
          <w:szCs w:val="17"/>
        </w:rPr>
        <w:t xml:space="preserve"> Architekten</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E96057">
        <w:tc>
          <w:tcPr>
            <w:tcW w:w="2444" w:type="pct"/>
            <w:tcBorders>
              <w:top w:val="nil"/>
              <w:left w:val="nil"/>
              <w:bottom w:val="nil"/>
              <w:right w:val="nil"/>
            </w:tcBorders>
            <w:shd w:val="clear" w:color="auto" w:fill="auto"/>
            <w:tcMar>
              <w:top w:w="0" w:type="dxa"/>
              <w:left w:w="0" w:type="dxa"/>
              <w:bottom w:w="0" w:type="dxa"/>
              <w:right w:w="0" w:type="dxa"/>
            </w:tcMar>
          </w:tcPr>
          <w:p w:rsidR="00E96057" w:rsidRDefault="00000000">
            <w:pPr>
              <w:keepNext/>
              <w:keepLines/>
              <w:spacing w:line="240" w:lineRule="auto"/>
              <w:rPr>
                <w:sz w:val="14"/>
                <w:szCs w:val="14"/>
              </w:rPr>
            </w:pPr>
            <w:r>
              <w:rPr>
                <w:sz w:val="14"/>
                <w:szCs w:val="14"/>
              </w:rPr>
              <w:t>9.</w:t>
            </w:r>
          </w:p>
        </w:tc>
        <w:tc>
          <w:tcPr>
            <w:tcW w:w="112" w:type="pct"/>
            <w:tcBorders>
              <w:top w:val="nil"/>
              <w:left w:val="nil"/>
              <w:bottom w:val="nil"/>
              <w:right w:val="nil"/>
            </w:tcBorders>
            <w:shd w:val="clear" w:color="auto" w:fill="auto"/>
            <w:tcMar>
              <w:top w:w="0" w:type="dxa"/>
              <w:left w:w="0" w:type="dxa"/>
              <w:bottom w:w="0" w:type="dxa"/>
              <w:right w:w="0" w:type="dxa"/>
            </w:tcMar>
          </w:tcPr>
          <w:p w:rsidR="00E96057" w:rsidRDefault="00E96057">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E96057" w:rsidRDefault="00000000">
            <w:pPr>
              <w:keepNext/>
              <w:keepLines/>
              <w:spacing w:line="240" w:lineRule="auto"/>
              <w:rPr>
                <w:sz w:val="14"/>
                <w:szCs w:val="14"/>
              </w:rPr>
            </w:pPr>
            <w:r>
              <w:rPr>
                <w:sz w:val="14"/>
                <w:szCs w:val="14"/>
              </w:rPr>
              <w:t>10.</w:t>
            </w:r>
          </w:p>
        </w:tc>
      </w:tr>
      <w:tr w:rsidR="00E9605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E96057" w:rsidRDefault="00000000">
            <w:pPr>
              <w:keepNext/>
              <w:keepLines/>
              <w:spacing w:line="240" w:lineRule="auto"/>
              <w:rPr>
                <w:sz w:val="14"/>
                <w:szCs w:val="14"/>
              </w:rPr>
            </w:pPr>
            <w:r>
              <w:rPr>
                <w:noProof/>
                <w:sz w:val="14"/>
                <w:szCs w:val="14"/>
              </w:rPr>
              <w:drawing>
                <wp:inline distT="0" distB="0" distL="0" distR="0">
                  <wp:extent cx="2849880" cy="2014220"/>
                  <wp:effectExtent l="0" t="0" r="0" b="0"/>
                  <wp:docPr id="12" name="Picture 12"/>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dpi="0">
                          <a:blip r:embed="rId28"/>
                          <a:srcRect/>
                          <a:stretch>
                            <a:fillRect/>
                          </a:stretch>
                        </pic:blipFill>
                        <pic:spPr>
                          <a:xfrm>
                            <a:off x="0" y="0"/>
                            <a:ext cx="284988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E96057" w:rsidRDefault="00E96057">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E96057" w:rsidRDefault="00000000">
            <w:pPr>
              <w:keepNext/>
              <w:keepLines/>
              <w:spacing w:line="240" w:lineRule="auto"/>
              <w:rPr>
                <w:sz w:val="14"/>
                <w:szCs w:val="14"/>
              </w:rPr>
            </w:pPr>
            <w:r>
              <w:rPr>
                <w:noProof/>
                <w:sz w:val="14"/>
                <w:szCs w:val="14"/>
              </w:rPr>
              <w:drawing>
                <wp:inline distT="0" distB="0" distL="0" distR="0">
                  <wp:extent cx="2849880" cy="2014220"/>
                  <wp:effectExtent l="0" t="0" r="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dpi="0">
                          <a:blip r:embed="rId29"/>
                          <a:srcRect/>
                          <a:stretch>
                            <a:fillRect/>
                          </a:stretch>
                        </pic:blipFill>
                        <pic:spPr>
                          <a:xfrm>
                            <a:off x="0" y="0"/>
                            <a:ext cx="2849880" cy="2014220"/>
                          </a:xfrm>
                          <a:prstGeom prst="rect">
                            <a:avLst/>
                          </a:prstGeom>
                        </pic:spPr>
                      </pic:pic>
                    </a:graphicData>
                  </a:graphic>
                </wp:inline>
              </w:drawing>
            </w:r>
          </w:p>
        </w:tc>
      </w:tr>
      <w:tr w:rsidR="00E96057">
        <w:tc>
          <w:tcPr>
            <w:tcW w:w="2444" w:type="pct"/>
            <w:tcBorders>
              <w:top w:val="nil"/>
              <w:left w:val="nil"/>
              <w:bottom w:val="nil"/>
              <w:right w:val="nil"/>
            </w:tcBorders>
            <w:shd w:val="clear" w:color="auto" w:fill="auto"/>
            <w:tcMar>
              <w:top w:w="0" w:type="dxa"/>
              <w:left w:w="0" w:type="dxa"/>
              <w:bottom w:w="0" w:type="dxa"/>
              <w:right w:w="0" w:type="dxa"/>
            </w:tcMar>
          </w:tcPr>
          <w:p w:rsidR="00E96057" w:rsidRDefault="00E96057">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rsidR="00E96057" w:rsidRDefault="00E96057">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E96057" w:rsidRDefault="00E96057">
            <w:pPr>
              <w:keepNext/>
              <w:keepLines/>
              <w:spacing w:line="240" w:lineRule="auto"/>
              <w:rPr>
                <w:sz w:val="14"/>
                <w:szCs w:val="14"/>
              </w:rPr>
            </w:pPr>
          </w:p>
        </w:tc>
      </w:tr>
      <w:tr w:rsidR="00E96057">
        <w:tc>
          <w:tcPr>
            <w:tcW w:w="2444" w:type="pct"/>
            <w:tcBorders>
              <w:top w:val="nil"/>
              <w:left w:val="nil"/>
              <w:bottom w:val="nil"/>
              <w:right w:val="nil"/>
            </w:tcBorders>
            <w:shd w:val="clear" w:color="auto" w:fill="auto"/>
            <w:tcMar>
              <w:top w:w="0" w:type="dxa"/>
              <w:left w:w="0" w:type="dxa"/>
              <w:bottom w:w="0" w:type="dxa"/>
              <w:right w:w="0" w:type="dxa"/>
            </w:tcMar>
          </w:tcPr>
          <w:p w:rsidR="00E96057" w:rsidRDefault="00000000">
            <w:pPr>
              <w:keepNext/>
              <w:keepLines/>
              <w:spacing w:line="240" w:lineRule="auto"/>
              <w:rPr>
                <w:sz w:val="14"/>
                <w:szCs w:val="14"/>
              </w:rPr>
            </w:pPr>
            <w:r>
              <w:rPr>
                <w:sz w:val="14"/>
                <w:szCs w:val="14"/>
              </w:rPr>
              <w:t>11.</w:t>
            </w:r>
          </w:p>
        </w:tc>
        <w:tc>
          <w:tcPr>
            <w:tcW w:w="112" w:type="pct"/>
            <w:tcBorders>
              <w:top w:val="nil"/>
              <w:left w:val="nil"/>
              <w:bottom w:val="nil"/>
              <w:right w:val="nil"/>
            </w:tcBorders>
            <w:shd w:val="clear" w:color="auto" w:fill="auto"/>
            <w:tcMar>
              <w:top w:w="0" w:type="dxa"/>
              <w:left w:w="0" w:type="dxa"/>
              <w:bottom w:w="0" w:type="dxa"/>
              <w:right w:w="0" w:type="dxa"/>
            </w:tcMar>
          </w:tcPr>
          <w:p w:rsidR="00E96057" w:rsidRDefault="00E96057">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rsidR="00E96057" w:rsidRDefault="00000000">
            <w:pPr>
              <w:keepNext/>
              <w:keepLines/>
              <w:spacing w:line="240" w:lineRule="auto"/>
              <w:rPr>
                <w:sz w:val="14"/>
                <w:szCs w:val="14"/>
              </w:rPr>
            </w:pPr>
            <w:r>
              <w:rPr>
                <w:sz w:val="14"/>
                <w:szCs w:val="14"/>
              </w:rPr>
              <w:t>12.</w:t>
            </w:r>
          </w:p>
        </w:tc>
      </w:tr>
      <w:tr w:rsidR="00E9605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E96057" w:rsidRDefault="00000000">
            <w:pPr>
              <w:keepNext/>
              <w:keepLines/>
              <w:spacing w:line="240" w:lineRule="auto"/>
              <w:rPr>
                <w:sz w:val="14"/>
                <w:szCs w:val="14"/>
              </w:rPr>
            </w:pPr>
            <w:r>
              <w:rPr>
                <w:noProof/>
                <w:sz w:val="14"/>
                <w:szCs w:val="14"/>
              </w:rPr>
              <w:drawing>
                <wp:inline distT="0" distB="0" distL="0" distR="0">
                  <wp:extent cx="2849880" cy="2014220"/>
                  <wp:effectExtent l="0" t="0" r="0" b="0"/>
                  <wp:docPr id="14" name="Picture 14"/>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dpi="0">
                          <a:blip r:embed="rId30"/>
                          <a:srcRect/>
                          <a:stretch>
                            <a:fillRect/>
                          </a:stretch>
                        </pic:blipFill>
                        <pic:spPr>
                          <a:xfrm>
                            <a:off x="0" y="0"/>
                            <a:ext cx="2849880"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rsidR="00E96057" w:rsidRDefault="00E96057">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rsidR="00E96057" w:rsidRDefault="00000000">
            <w:pPr>
              <w:keepNext/>
              <w:keepLines/>
              <w:spacing w:line="240" w:lineRule="auto"/>
              <w:rPr>
                <w:sz w:val="14"/>
                <w:szCs w:val="14"/>
              </w:rPr>
            </w:pPr>
            <w:r>
              <w:rPr>
                <w:noProof/>
                <w:sz w:val="14"/>
                <w:szCs w:val="14"/>
              </w:rPr>
              <w:drawing>
                <wp:inline distT="0" distB="0" distL="0" distR="0">
                  <wp:extent cx="2849880" cy="2014220"/>
                  <wp:effectExtent l="0" t="0" r="0" b="0"/>
                  <wp:docPr id="15" name="Picture 15"/>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dpi="0">
                          <a:blip r:embed="rId31"/>
                          <a:srcRect/>
                          <a:stretch>
                            <a:fillRect/>
                          </a:stretch>
                        </pic:blipFill>
                        <pic:spPr>
                          <a:xfrm>
                            <a:off x="0" y="0"/>
                            <a:ext cx="2849880" cy="2014220"/>
                          </a:xfrm>
                          <a:prstGeom prst="rect">
                            <a:avLst/>
                          </a:prstGeom>
                        </pic:spPr>
                      </pic:pic>
                    </a:graphicData>
                  </a:graphic>
                </wp:inline>
              </w:drawing>
            </w:r>
          </w:p>
        </w:tc>
      </w:tr>
    </w:tbl>
    <w:p w:rsidR="00E96057" w:rsidRDefault="00000000">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706"/>
        <w:gridCol w:w="3706"/>
        <w:gridCol w:w="2340"/>
      </w:tblGrid>
      <w:tr w:rsidR="00E96057">
        <w:tc>
          <w:tcPr>
            <w:tcW w:w="3800" w:type="pct"/>
            <w:gridSpan w:val="2"/>
            <w:tcBorders>
              <w:top w:val="nil"/>
              <w:left w:val="nil"/>
              <w:bottom w:val="nil"/>
              <w:right w:val="nil"/>
            </w:tcBorders>
            <w:shd w:val="clear" w:color="auto" w:fill="auto"/>
            <w:tcMar>
              <w:top w:w="0" w:type="dxa"/>
              <w:left w:w="0" w:type="dxa"/>
              <w:bottom w:w="0" w:type="dxa"/>
              <w:right w:w="227" w:type="dxa"/>
            </w:tcMar>
          </w:tcPr>
          <w:p w:rsidR="00E96057" w:rsidRDefault="00000000">
            <w:pPr>
              <w:spacing w:before="240" w:after="240"/>
              <w:rPr>
                <w:sz w:val="20"/>
                <w:szCs w:val="20"/>
              </w:rPr>
            </w:pPr>
            <w:r>
              <w:rPr>
                <w:b/>
                <w:sz w:val="20"/>
                <w:szCs w:val="20"/>
              </w:rPr>
              <w:lastRenderedPageBreak/>
              <w:t xml:space="preserve">Über </w:t>
            </w:r>
            <w:proofErr w:type="spellStart"/>
            <w:r>
              <w:rPr>
                <w:b/>
                <w:sz w:val="20"/>
                <w:szCs w:val="20"/>
              </w:rPr>
              <w:t>a+r</w:t>
            </w:r>
            <w:proofErr w:type="spellEnd"/>
            <w:r>
              <w:rPr>
                <w:b/>
                <w:sz w:val="20"/>
                <w:szCs w:val="20"/>
              </w:rPr>
              <w:t xml:space="preserve"> Architekten</w:t>
            </w:r>
          </w:p>
          <w:p w:rsidR="00E96057" w:rsidRDefault="00000000">
            <w:pPr>
              <w:spacing w:before="240" w:after="240"/>
              <w:rPr>
                <w:sz w:val="20"/>
                <w:szCs w:val="20"/>
              </w:rPr>
            </w:pPr>
            <w:proofErr w:type="spellStart"/>
            <w:r>
              <w:rPr>
                <w:sz w:val="20"/>
                <w:szCs w:val="20"/>
              </w:rPr>
              <w:t>a+r</w:t>
            </w:r>
            <w:proofErr w:type="spellEnd"/>
            <w:r>
              <w:rPr>
                <w:sz w:val="20"/>
                <w:szCs w:val="20"/>
              </w:rPr>
              <w:t xml:space="preserve"> Architekten stehen für eine solide, umweltverträgliche und zukunftsorientierte Architektur mit einer überzeugenden Expertise im Bereich des nachhaltigen Bauens – auch im Bestand. Das 1985 von Prof. Gerd Ackermann und Prof. Hellmut Raff gegründete Büro mit Standorten in Stuttgart und Tübingen zählt rund 100 Mitarbeiter und steht heute unter der Leitung von Oliver Braun, Florian Gruner, Alexander Lange und Walter Fritz. Vorwiegend bauen </w:t>
            </w:r>
            <w:hyperlink r:id="rId32" w:tgtFrame="_blank">
              <w:proofErr w:type="spellStart"/>
              <w:r>
                <w:rPr>
                  <w:rStyle w:val="Hyperlink"/>
                  <w:color w:val="000000"/>
                  <w:sz w:val="20"/>
                  <w:szCs w:val="20"/>
                </w:rPr>
                <w:t>a+r</w:t>
              </w:r>
              <w:proofErr w:type="spellEnd"/>
              <w:r>
                <w:rPr>
                  <w:rStyle w:val="Hyperlink"/>
                  <w:color w:val="000000"/>
                  <w:sz w:val="20"/>
                  <w:szCs w:val="20"/>
                </w:rPr>
                <w:t xml:space="preserve"> Architekten </w:t>
              </w:r>
            </w:hyperlink>
            <w:r>
              <w:rPr>
                <w:sz w:val="20"/>
                <w:szCs w:val="20"/>
              </w:rPr>
              <w:t>für öffentliche Auftraggeber, Industrie und Gewerbe, für kommunale Wohnbauunternehmen sowie für soziale Einrichtungen. Das Büro konzentriert sich auf eine angemessene, ökologische, funktionale und daraus resultierend innovative Bauweise und wurde dafür mit renommierten Preisen ausgezeichnet.</w:t>
            </w:r>
          </w:p>
          <w:p w:rsidR="00E96057" w:rsidRDefault="00000000">
            <w:pPr>
              <w:spacing w:before="240" w:after="240"/>
              <w:rPr>
                <w:sz w:val="20"/>
                <w:szCs w:val="20"/>
              </w:rPr>
            </w:pPr>
            <w:hyperlink r:id="rId33">
              <w:r>
                <w:rPr>
                  <w:rStyle w:val="Hyperlink"/>
                  <w:color w:val="000000"/>
                  <w:sz w:val="20"/>
                  <w:szCs w:val="20"/>
                </w:rPr>
                <w:t>www.aplusr.de</w:t>
              </w:r>
            </w:hyperlink>
          </w:p>
          <w:p w:rsidR="00E96057" w:rsidRDefault="00000000">
            <w:pPr>
              <w:spacing w:before="240" w:after="240"/>
              <w:rPr>
                <w:sz w:val="20"/>
                <w:szCs w:val="20"/>
              </w:rPr>
            </w:pPr>
            <w:hyperlink r:id="rId34">
              <w:r>
                <w:rPr>
                  <w:rStyle w:val="Hyperlink"/>
                  <w:color w:val="000000"/>
                  <w:sz w:val="20"/>
                  <w:szCs w:val="20"/>
                </w:rPr>
                <w:t>Instagram</w:t>
              </w:r>
            </w:hyperlink>
          </w:p>
          <w:p w:rsidR="00E96057" w:rsidRDefault="00000000">
            <w:pPr>
              <w:rPr>
                <w:sz w:val="20"/>
                <w:szCs w:val="20"/>
              </w:rPr>
            </w:pPr>
            <w:r>
              <w:rPr>
                <w:sz w:val="20"/>
                <w:szCs w:val="20"/>
              </w:rPr>
              <w:br/>
            </w:r>
          </w:p>
        </w:tc>
        <w:tc>
          <w:tcPr>
            <w:tcW w:w="1200" w:type="pct"/>
            <w:tcBorders>
              <w:top w:val="nil"/>
              <w:left w:val="nil"/>
              <w:bottom w:val="nil"/>
              <w:right w:val="nil"/>
            </w:tcBorders>
            <w:shd w:val="clear" w:color="auto" w:fill="auto"/>
            <w:tcMar>
              <w:top w:w="0" w:type="dxa"/>
              <w:left w:w="0" w:type="dxa"/>
              <w:bottom w:w="0" w:type="dxa"/>
              <w:right w:w="227" w:type="dxa"/>
            </w:tcMar>
          </w:tcPr>
          <w:p w:rsidR="00E96057" w:rsidRDefault="00000000">
            <w:pPr>
              <w:rPr>
                <w:sz w:val="20"/>
                <w:szCs w:val="20"/>
              </w:rPr>
            </w:pPr>
            <w:r>
              <w:rPr>
                <w:sz w:val="20"/>
                <w:szCs w:val="20"/>
              </w:rPr>
              <w:br/>
            </w:r>
          </w:p>
        </w:tc>
      </w:tr>
      <w:tr w:rsidR="00E96057">
        <w:trPr>
          <w:gridAfter w:val="1"/>
          <w:wAfter w:w="1728" w:type="dxa"/>
        </w:trPr>
        <w:tc>
          <w:tcPr>
            <w:tcW w:w="2736" w:type="dxa"/>
            <w:tcBorders>
              <w:top w:val="nil"/>
              <w:left w:val="nil"/>
              <w:bottom w:val="nil"/>
              <w:right w:val="nil"/>
            </w:tcBorders>
            <w:shd w:val="clear" w:color="auto" w:fill="auto"/>
            <w:tcMar>
              <w:top w:w="0" w:type="dxa"/>
              <w:left w:w="0" w:type="dxa"/>
              <w:bottom w:w="0" w:type="dxa"/>
              <w:right w:w="227" w:type="dxa"/>
            </w:tcMar>
          </w:tcPr>
          <w:p w:rsidR="00E96057" w:rsidRDefault="00E96057">
            <w:pPr>
              <w:rPr>
                <w:sz w:val="20"/>
                <w:szCs w:val="20"/>
              </w:rPr>
            </w:pPr>
          </w:p>
        </w:tc>
        <w:tc>
          <w:tcPr>
            <w:tcW w:w="2736" w:type="dxa"/>
            <w:tcBorders>
              <w:top w:val="nil"/>
              <w:left w:val="nil"/>
              <w:bottom w:val="nil"/>
              <w:right w:val="nil"/>
            </w:tcBorders>
            <w:shd w:val="clear" w:color="auto" w:fill="auto"/>
            <w:tcMar>
              <w:top w:w="0" w:type="dxa"/>
              <w:left w:w="0" w:type="dxa"/>
              <w:bottom w:w="0" w:type="dxa"/>
              <w:right w:w="227" w:type="dxa"/>
            </w:tcMar>
          </w:tcPr>
          <w:p w:rsidR="00E96057" w:rsidRDefault="00E96057">
            <w:pPr>
              <w:rPr>
                <w:sz w:val="20"/>
                <w:szCs w:val="20"/>
              </w:rPr>
            </w:pPr>
          </w:p>
        </w:tc>
      </w:tr>
    </w:tbl>
    <w:p w:rsidR="00E96057" w:rsidRDefault="00E96057">
      <w:pPr>
        <w:spacing w:line="240" w:lineRule="auto"/>
      </w:pPr>
    </w:p>
    <w:sectPr w:rsidR="00E96057">
      <w:headerReference w:type="default" r:id="rId35"/>
      <w:footerReference w:type="default" r:id="rId36"/>
      <w:headerReference w:type="first" r:id="rId37"/>
      <w:footerReference w:type="first" r:id="rId38"/>
      <w:pgSz w:w="11906" w:h="16838"/>
      <w:pgMar w:top="1701" w:right="1020" w:bottom="1134" w:left="1134" w:header="964"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401D92" w:rsidRDefault="00401D92">
      <w:pPr>
        <w:spacing w:line="240" w:lineRule="auto"/>
      </w:pPr>
      <w:r>
        <w:separator/>
      </w:r>
    </w:p>
  </w:endnote>
  <w:endnote w:type="continuationSeparator" w:id="0">
    <w:p w:rsidR="00401D92" w:rsidRDefault="00401D9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E96057">
      <w:tc>
        <w:tcPr>
          <w:tcW w:w="4900" w:type="pct"/>
          <w:tcBorders>
            <w:top w:val="nil"/>
            <w:left w:val="nil"/>
            <w:bottom w:val="nil"/>
            <w:right w:val="nil"/>
          </w:tcBorders>
          <w:shd w:val="clear" w:color="auto" w:fill="auto"/>
          <w:tcMar>
            <w:top w:w="0" w:type="dxa"/>
            <w:left w:w="0" w:type="dxa"/>
            <w:bottom w:w="0" w:type="dxa"/>
            <w:right w:w="0" w:type="dxa"/>
          </w:tcMar>
          <w:vAlign w:val="bottom"/>
        </w:tcPr>
        <w:p w:rsidR="00E96057" w:rsidRDefault="00E96057">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E96057" w:rsidRDefault="00000000">
          <w:pPr>
            <w:rPr>
              <w:sz w:val="14"/>
              <w:szCs w:val="14"/>
            </w:rPr>
          </w:pPr>
          <w:r>
            <w:rPr>
              <w:sz w:val="14"/>
              <w:szCs w:val="14"/>
            </w:rPr>
            <w:fldChar w:fldCharType="begin"/>
          </w:r>
          <w:r>
            <w:rPr>
              <w:sz w:val="14"/>
              <w:szCs w:val="14"/>
            </w:rPr>
            <w:instrText>PAGE \* ARABIC</w:instrText>
          </w:r>
          <w:r>
            <w:rPr>
              <w:sz w:val="14"/>
              <w:szCs w:val="14"/>
            </w:rPr>
            <w:fldChar w:fldCharType="separate"/>
          </w:r>
          <w:r>
            <w:rPr>
              <w:sz w:val="14"/>
              <w:szCs w:val="14"/>
            </w:rPr>
            <w:t>#</w:t>
          </w:r>
          <w:r>
            <w:rPr>
              <w:sz w:val="14"/>
              <w:szCs w:val="14"/>
            </w:rPr>
            <w:fldChar w:fldCharType="end"/>
          </w:r>
        </w:p>
      </w:tc>
    </w:tr>
  </w:tbl>
  <w:p w:rsidR="00E96057" w:rsidRDefault="00E96057">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E96057">
      <w:tc>
        <w:tcPr>
          <w:tcW w:w="4900" w:type="pct"/>
          <w:tcBorders>
            <w:top w:val="nil"/>
            <w:left w:val="nil"/>
            <w:bottom w:val="nil"/>
            <w:right w:val="nil"/>
          </w:tcBorders>
          <w:shd w:val="clear" w:color="auto" w:fill="auto"/>
          <w:tcMar>
            <w:top w:w="0" w:type="dxa"/>
            <w:left w:w="0" w:type="dxa"/>
            <w:bottom w:w="0" w:type="dxa"/>
            <w:right w:w="0" w:type="dxa"/>
          </w:tcMar>
          <w:vAlign w:val="bottom"/>
        </w:tcPr>
        <w:p w:rsidR="00E96057" w:rsidRDefault="00E96057">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rsidR="00E96057" w:rsidRDefault="00E96057">
          <w:pPr>
            <w:rPr>
              <w:sz w:val="14"/>
              <w:szCs w:val="14"/>
            </w:rPr>
          </w:pPr>
        </w:p>
      </w:tc>
    </w:tr>
  </w:tbl>
  <w:p w:rsidR="00E96057" w:rsidRDefault="00E96057">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401D92" w:rsidRDefault="00401D92">
      <w:pPr>
        <w:spacing w:line="240" w:lineRule="auto"/>
      </w:pPr>
      <w:r>
        <w:separator/>
      </w:r>
    </w:p>
  </w:footnote>
  <w:footnote w:type="continuationSeparator" w:id="0">
    <w:p w:rsidR="00401D92" w:rsidRDefault="00401D9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96057" w:rsidRDefault="00000000">
    <w:r>
      <w:rPr>
        <w:noProof/>
      </w:rPr>
      <w:drawing>
        <wp:anchor distT="0" distB="0" distL="114300" distR="114300" simplePos="0" relativeHeight="251659264" behindDoc="0" locked="0" layoutInCell="0" allowOverlap="0">
          <wp:simplePos x="0" y="0"/>
          <wp:positionH relativeFrom="page">
            <wp:posOffset>5723890</wp:posOffset>
          </wp:positionH>
          <wp:positionV relativeFrom="page">
            <wp:posOffset>539750</wp:posOffset>
          </wp:positionV>
          <wp:extent cx="590550" cy="395605"/>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590550" cy="395605"/>
                  </a:xfrm>
                  <a:prstGeom prst="rect">
                    <a:avLst/>
                  </a:prstGeom>
                </pic:spPr>
              </pic:pic>
            </a:graphicData>
          </a:graphic>
        </wp:anchor>
      </w:drawing>
    </w:r>
    <w:r>
      <w:rPr>
        <w:rFonts w:eastAsia="Arial"/>
        <w:b/>
      </w:rPr>
      <w:t>MEDIENINFORMATION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E96057" w:rsidRDefault="00000000">
    <w:r>
      <w:rPr>
        <w:noProof/>
      </w:rPr>
      <w:drawing>
        <wp:anchor distT="0" distB="0" distL="114300" distR="114300" simplePos="0" relativeHeight="251658240" behindDoc="0" locked="0" layoutInCell="0" allowOverlap="0">
          <wp:simplePos x="0" y="0"/>
          <wp:positionH relativeFrom="page">
            <wp:posOffset>5723890</wp:posOffset>
          </wp:positionH>
          <wp:positionV relativeFrom="page">
            <wp:posOffset>539750</wp:posOffset>
          </wp:positionV>
          <wp:extent cx="590550" cy="395605"/>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590550" cy="395605"/>
                  </a:xfrm>
                  <a:prstGeom prst="rect">
                    <a:avLst/>
                  </a:prstGeom>
                </pic:spPr>
              </pic:pic>
            </a:graphicData>
          </a:graphic>
        </wp:anchor>
      </w:drawing>
    </w:r>
    <w:r>
      <w:rPr>
        <w:rFonts w:eastAsia="Arial"/>
        <w:b/>
      </w:rPr>
      <w:t>MEDIENINFORMATION</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96057"/>
    <w:rsid w:val="00401D92"/>
    <w:rsid w:val="00941EC3"/>
    <w:rsid w:val="00E96057"/>
    <w:rsid w:val="00F4254A"/>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decimalSymbol w:val=","/>
  <w:listSeparator w:val=";"/>
  <w14:docId w14:val="1F2E6762"/>
  <w15:docId w15:val="{5879D443-7B89-C44A-8A07-F921A6EE6B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zh-TW"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www.adlerolesch.de/" TargetMode="External"/><Relationship Id="rId18" Type="http://schemas.openxmlformats.org/officeDocument/2006/relationships/hyperlink" Target="mailto:pr@aplusr.de" TargetMode="External"/><Relationship Id="rId26" Type="http://schemas.openxmlformats.org/officeDocument/2006/relationships/image" Target="media/image8.jpg"/><Relationship Id="rId39" Type="http://schemas.openxmlformats.org/officeDocument/2006/relationships/fontTable" Target="fontTable.xml"/><Relationship Id="rId21" Type="http://schemas.openxmlformats.org/officeDocument/2006/relationships/image" Target="media/image3.jpg"/><Relationship Id="rId34" Type="http://schemas.openxmlformats.org/officeDocument/2006/relationships/hyperlink" Target="https://www.instagram.com/aplusr_architekten/" TargetMode="External"/><Relationship Id="rId7" Type="http://schemas.openxmlformats.org/officeDocument/2006/relationships/hyperlink" Target="http://www.gustav-epple.de/" TargetMode="External"/><Relationship Id="rId12" Type="http://schemas.openxmlformats.org/officeDocument/2006/relationships/hyperlink" Target="http://www.se-engineering.org/" TargetMode="External"/><Relationship Id="rId17" Type="http://schemas.openxmlformats.org/officeDocument/2006/relationships/hyperlink" Target="http://www.ernst2-architekten.de/" TargetMode="External"/><Relationship Id="rId25" Type="http://schemas.openxmlformats.org/officeDocument/2006/relationships/image" Target="media/image7.jpg"/><Relationship Id="rId33" Type="http://schemas.openxmlformats.org/officeDocument/2006/relationships/hyperlink" Target="http://www.aplusr.de/" TargetMode="External"/><Relationship Id="rId38" Type="http://schemas.openxmlformats.org/officeDocument/2006/relationships/footer" Target="footer2.xml"/><Relationship Id="rId2" Type="http://schemas.openxmlformats.org/officeDocument/2006/relationships/settings" Target="settings.xml"/><Relationship Id="rId16" Type="http://schemas.openxmlformats.org/officeDocument/2006/relationships/hyperlink" Target="http://www.vermessung-herbst.com/" TargetMode="External"/><Relationship Id="rId20" Type="http://schemas.openxmlformats.org/officeDocument/2006/relationships/image" Target="media/image2.jpg"/><Relationship Id="rId29" Type="http://schemas.openxmlformats.org/officeDocument/2006/relationships/image" Target="media/image11.jpg"/><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hyperlink" Target="http://www.tepma.de/" TargetMode="External"/><Relationship Id="rId24" Type="http://schemas.openxmlformats.org/officeDocument/2006/relationships/image" Target="media/image6.jpg"/><Relationship Id="rId32" Type="http://schemas.openxmlformats.org/officeDocument/2006/relationships/hyperlink" Target="http://www.aplusr.de/"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hyperlink" Target="http://www.gn-bauphysik.de/" TargetMode="External"/><Relationship Id="rId23" Type="http://schemas.openxmlformats.org/officeDocument/2006/relationships/image" Target="media/image5.jpg"/><Relationship Id="rId28" Type="http://schemas.openxmlformats.org/officeDocument/2006/relationships/image" Target="media/image10.jpg"/><Relationship Id="rId36" Type="http://schemas.openxmlformats.org/officeDocument/2006/relationships/footer" Target="footer1.xml"/><Relationship Id="rId10" Type="http://schemas.openxmlformats.org/officeDocument/2006/relationships/hyperlink" Target="http://www.rubner.com/" TargetMode="External"/><Relationship Id="rId19" Type="http://schemas.openxmlformats.org/officeDocument/2006/relationships/hyperlink" Target="https://www.aplusr.de" TargetMode="External"/><Relationship Id="rId31" Type="http://schemas.openxmlformats.org/officeDocument/2006/relationships/image" Target="media/image13.jpg"/><Relationship Id="rId4" Type="http://schemas.openxmlformats.org/officeDocument/2006/relationships/footnotes" Target="footnotes.xml"/><Relationship Id="rId9" Type="http://schemas.openxmlformats.org/officeDocument/2006/relationships/hyperlink" Target="http://www.fuzi-tragwerke.de/" TargetMode="External"/><Relationship Id="rId14" Type="http://schemas.openxmlformats.org/officeDocument/2006/relationships/hyperlink" Target="http://www.kuhndecker.de/" TargetMode="External"/><Relationship Id="rId22" Type="http://schemas.openxmlformats.org/officeDocument/2006/relationships/image" Target="media/image4.jpg"/><Relationship Id="rId27" Type="http://schemas.openxmlformats.org/officeDocument/2006/relationships/image" Target="media/image9.jpg"/><Relationship Id="rId30" Type="http://schemas.openxmlformats.org/officeDocument/2006/relationships/image" Target="media/image12.jpg"/><Relationship Id="rId35" Type="http://schemas.openxmlformats.org/officeDocument/2006/relationships/header" Target="header1.xml"/><Relationship Id="rId8" Type="http://schemas.openxmlformats.org/officeDocument/2006/relationships/hyperlink" Target="http://www.aplusr.de/" TargetMode="External"/><Relationship Id="rId3" Type="http://schemas.openxmlformats.org/officeDocument/2006/relationships/webSettings" Target="webSettings.xml"/></Relationships>
</file>

<file path=word/_rels/header1.xml.rels><?xml version="1.0" encoding="UTF-8" standalone="yes"?>
<Relationships xmlns="http://schemas.openxmlformats.org/package/2006/relationships"><Relationship Id="rId1" Type="http://schemas.openxmlformats.org/officeDocument/2006/relationships/image" Target="media/image14.jpg"/></Relationships>
</file>

<file path=word/_rels/header2.xml.rels><?xml version="1.0" encoding="UTF-8" standalone="yes"?>
<Relationships xmlns="http://schemas.openxmlformats.org/package/2006/relationships"><Relationship Id="rId1" Type="http://schemas.openxmlformats.org/officeDocument/2006/relationships/image" Target="media/image1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1435</Words>
  <Characters>9041</Characters>
  <Application>Microsoft Office Word</Application>
  <DocSecurity>0</DocSecurity>
  <Lines>75</Lines>
  <Paragraphs>20</Paragraphs>
  <ScaleCrop>false</ScaleCrop>
  <Company/>
  <LinksUpToDate>false</LinksUpToDate>
  <CharactersWithSpaces>10456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Rainer Häupl</cp:lastModifiedBy>
  <cp:revision>3</cp:revision>
  <dcterms:created xsi:type="dcterms:W3CDTF">2024-12-13T13:37:00Z</dcterms:created>
  <dcterms:modified xsi:type="dcterms:W3CDTF">2024-12-13T13:38:00Z</dcterms:modified>
</cp:coreProperties>
</file>